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0CD6B" w14:textId="4DE7B9A1" w:rsidR="00242E7B" w:rsidRPr="00A04BCB" w:rsidRDefault="00242E7B" w:rsidP="002C1238">
      <w:pPr>
        <w:jc w:val="center"/>
        <w:rPr>
          <w:b/>
          <w:bCs/>
          <w:sz w:val="28"/>
          <w:szCs w:val="28"/>
        </w:rPr>
      </w:pPr>
      <w:r w:rsidRPr="00A04BCB">
        <w:rPr>
          <w:b/>
          <w:bCs/>
          <w:sz w:val="28"/>
          <w:szCs w:val="28"/>
        </w:rPr>
        <w:t xml:space="preserve">Local </w:t>
      </w:r>
      <w:r w:rsidR="009B507B" w:rsidRPr="00A04BCB">
        <w:rPr>
          <w:b/>
          <w:bCs/>
          <w:sz w:val="28"/>
          <w:szCs w:val="28"/>
        </w:rPr>
        <w:t xml:space="preserve">Practice Note: </w:t>
      </w:r>
    </w:p>
    <w:p w14:paraId="52ED9F25" w14:textId="2D43E751" w:rsidR="000F513A" w:rsidRDefault="002C1238" w:rsidP="002C1238">
      <w:pPr>
        <w:jc w:val="center"/>
        <w:rPr>
          <w:b/>
          <w:bCs/>
          <w:sz w:val="28"/>
          <w:szCs w:val="28"/>
        </w:rPr>
      </w:pPr>
      <w:r w:rsidRPr="00A04BCB">
        <w:rPr>
          <w:b/>
          <w:bCs/>
          <w:sz w:val="28"/>
          <w:szCs w:val="28"/>
        </w:rPr>
        <w:t>Getting Back to the Public Law Outline</w:t>
      </w:r>
      <w:r w:rsidR="00964701" w:rsidRPr="00A04BCB">
        <w:rPr>
          <w:b/>
          <w:bCs/>
          <w:sz w:val="28"/>
          <w:szCs w:val="28"/>
        </w:rPr>
        <w:t xml:space="preserve"> on the </w:t>
      </w:r>
      <w:r w:rsidR="00721F59">
        <w:rPr>
          <w:b/>
          <w:bCs/>
          <w:sz w:val="28"/>
          <w:szCs w:val="28"/>
        </w:rPr>
        <w:t xml:space="preserve">South Eastern </w:t>
      </w:r>
      <w:r w:rsidR="00964701" w:rsidRPr="00A04BCB">
        <w:rPr>
          <w:b/>
          <w:bCs/>
          <w:sz w:val="28"/>
          <w:szCs w:val="28"/>
        </w:rPr>
        <w:t>Circuit</w:t>
      </w:r>
    </w:p>
    <w:p w14:paraId="4D923AD9" w14:textId="77777777" w:rsidR="00A04BCB" w:rsidRPr="00A04BCB" w:rsidRDefault="00A04BCB" w:rsidP="002C1238">
      <w:pPr>
        <w:jc w:val="center"/>
        <w:rPr>
          <w:b/>
          <w:bCs/>
          <w:sz w:val="28"/>
          <w:szCs w:val="28"/>
        </w:rPr>
      </w:pPr>
    </w:p>
    <w:p w14:paraId="1D77FB3A" w14:textId="024D5413" w:rsidR="002C1238" w:rsidRPr="00A04BCB" w:rsidRDefault="0003001F" w:rsidP="0003001F">
      <w:pPr>
        <w:jc w:val="center"/>
        <w:rPr>
          <w:rFonts w:cstheme="minorHAnsi"/>
          <w:color w:val="252526"/>
          <w:sz w:val="24"/>
          <w:szCs w:val="24"/>
          <w:shd w:val="clear" w:color="auto" w:fill="FFFFFF"/>
        </w:rPr>
      </w:pPr>
      <w:r w:rsidRPr="00A04BCB">
        <w:rPr>
          <w:rFonts w:cstheme="minorHAnsi"/>
          <w:color w:val="252526"/>
          <w:sz w:val="24"/>
          <w:szCs w:val="24"/>
          <w:shd w:val="clear" w:color="auto" w:fill="FFFFFF"/>
        </w:rPr>
        <w:t>“It is now clear to me that there is a need for a radical resetting of the culture within the Family Court so that the system reconnects with the strictures of the PLO and, once again, aims to meet the statutory requirement of completing each public law case within 26 weeks”</w:t>
      </w:r>
    </w:p>
    <w:p w14:paraId="6B9F16F8" w14:textId="31B915C9" w:rsidR="0003001F" w:rsidRPr="00A04BCB" w:rsidRDefault="003225FF" w:rsidP="0003001F">
      <w:pPr>
        <w:jc w:val="right"/>
        <w:rPr>
          <w:rFonts w:cstheme="minorHAnsi"/>
          <w:sz w:val="24"/>
          <w:szCs w:val="24"/>
        </w:rPr>
      </w:pPr>
      <w:r w:rsidRPr="00A04BCB">
        <w:rPr>
          <w:rFonts w:cstheme="minorHAnsi"/>
          <w:color w:val="252526"/>
          <w:sz w:val="24"/>
          <w:szCs w:val="24"/>
          <w:shd w:val="clear" w:color="auto" w:fill="FFFFFF"/>
        </w:rPr>
        <w:t xml:space="preserve">Sir Andrew McFarlane P, </w:t>
      </w:r>
      <w:r w:rsidR="0003001F" w:rsidRPr="00A04BCB">
        <w:rPr>
          <w:rFonts w:cstheme="minorHAnsi"/>
          <w:color w:val="252526"/>
          <w:sz w:val="24"/>
          <w:szCs w:val="24"/>
          <w:shd w:val="clear" w:color="auto" w:fill="FFFFFF"/>
        </w:rPr>
        <w:t>View from the President’s Chambers, November 2022</w:t>
      </w:r>
    </w:p>
    <w:p w14:paraId="1DA2C8C4" w14:textId="77777777" w:rsidR="0003001F" w:rsidRPr="00A04BCB" w:rsidRDefault="0003001F" w:rsidP="002C1238">
      <w:pPr>
        <w:rPr>
          <w:b/>
          <w:bCs/>
          <w:sz w:val="24"/>
          <w:szCs w:val="24"/>
        </w:rPr>
      </w:pPr>
    </w:p>
    <w:p w14:paraId="1E922D62" w14:textId="50671523" w:rsidR="002C1238" w:rsidRPr="00887330" w:rsidRDefault="00C825C6" w:rsidP="002C1238">
      <w:pPr>
        <w:rPr>
          <w:b/>
          <w:bCs/>
          <w:sz w:val="28"/>
          <w:szCs w:val="28"/>
        </w:rPr>
      </w:pPr>
      <w:r w:rsidRPr="00887330">
        <w:rPr>
          <w:b/>
          <w:bCs/>
          <w:sz w:val="28"/>
          <w:szCs w:val="28"/>
        </w:rPr>
        <w:t>The Public Law Outline</w:t>
      </w:r>
    </w:p>
    <w:p w14:paraId="10798E6E" w14:textId="3FE439DD" w:rsidR="007E564B" w:rsidRPr="00721F59" w:rsidRDefault="003B2B3C" w:rsidP="00DE5520">
      <w:pPr>
        <w:jc w:val="both"/>
        <w:rPr>
          <w:i/>
          <w:iCs/>
          <w:sz w:val="24"/>
          <w:szCs w:val="24"/>
        </w:rPr>
      </w:pPr>
      <w:r>
        <w:rPr>
          <w:sz w:val="24"/>
          <w:szCs w:val="24"/>
        </w:rPr>
        <w:t xml:space="preserve">1. </w:t>
      </w:r>
      <w:r w:rsidR="007E564B" w:rsidRPr="00A04BCB">
        <w:rPr>
          <w:sz w:val="24"/>
          <w:szCs w:val="24"/>
        </w:rPr>
        <w:t xml:space="preserve">Section 32(1)(a) of the Children Act 1989 requires the court to draw up a timetable with a view to </w:t>
      </w:r>
      <w:r w:rsidR="00864624">
        <w:rPr>
          <w:sz w:val="24"/>
          <w:szCs w:val="24"/>
        </w:rPr>
        <w:t>determining</w:t>
      </w:r>
      <w:r w:rsidR="007E564B" w:rsidRPr="00A04BCB">
        <w:rPr>
          <w:sz w:val="24"/>
          <w:szCs w:val="24"/>
        </w:rPr>
        <w:t xml:space="preserve"> </w:t>
      </w:r>
      <w:r w:rsidR="00592AFD">
        <w:rPr>
          <w:sz w:val="24"/>
          <w:szCs w:val="24"/>
        </w:rPr>
        <w:t>public law proceedings</w:t>
      </w:r>
      <w:r w:rsidR="007E564B" w:rsidRPr="00A04BCB">
        <w:rPr>
          <w:sz w:val="24"/>
          <w:szCs w:val="24"/>
        </w:rPr>
        <w:t xml:space="preserve"> without delay and, in any event, within 26 weeks.  </w:t>
      </w:r>
      <w:r w:rsidR="00B9455B">
        <w:rPr>
          <w:sz w:val="24"/>
          <w:szCs w:val="24"/>
        </w:rPr>
        <w:t>It</w:t>
      </w:r>
      <w:r w:rsidR="007E564B" w:rsidRPr="00A04BCB">
        <w:rPr>
          <w:sz w:val="24"/>
          <w:szCs w:val="24"/>
        </w:rPr>
        <w:t xml:space="preserve"> </w:t>
      </w:r>
      <w:r w:rsidR="00416F2B">
        <w:rPr>
          <w:sz w:val="24"/>
          <w:szCs w:val="24"/>
        </w:rPr>
        <w:t>sets out</w:t>
      </w:r>
      <w:r w:rsidR="007E564B" w:rsidRPr="00A04BCB">
        <w:rPr>
          <w:sz w:val="24"/>
          <w:szCs w:val="24"/>
        </w:rPr>
        <w:t xml:space="preserve"> the</w:t>
      </w:r>
      <w:r w:rsidR="007E564B" w:rsidRPr="00A04BCB">
        <w:rPr>
          <w:i/>
          <w:iCs/>
          <w:sz w:val="24"/>
          <w:szCs w:val="24"/>
        </w:rPr>
        <w:t xml:space="preserve"> law</w:t>
      </w:r>
      <w:r w:rsidR="00D30375" w:rsidRPr="00A04BCB">
        <w:rPr>
          <w:sz w:val="24"/>
          <w:szCs w:val="24"/>
        </w:rPr>
        <w:t xml:space="preserve"> </w:t>
      </w:r>
      <w:r w:rsidR="00D202E1">
        <w:rPr>
          <w:sz w:val="24"/>
          <w:szCs w:val="24"/>
        </w:rPr>
        <w:t>the Family Court is</w:t>
      </w:r>
      <w:r w:rsidR="00D30375" w:rsidRPr="00A04BCB">
        <w:rPr>
          <w:sz w:val="24"/>
          <w:szCs w:val="24"/>
        </w:rPr>
        <w:t xml:space="preserve"> required to apply in this regard</w:t>
      </w:r>
      <w:r w:rsidR="007E564B" w:rsidRPr="00A04BCB">
        <w:rPr>
          <w:sz w:val="24"/>
          <w:szCs w:val="24"/>
        </w:rPr>
        <w:t>.</w:t>
      </w:r>
      <w:r w:rsidR="00721F59">
        <w:rPr>
          <w:sz w:val="24"/>
          <w:szCs w:val="24"/>
        </w:rPr>
        <w:t xml:space="preserve"> Section 32(5) allows the court to extend the timetable ‘</w:t>
      </w:r>
      <w:r w:rsidR="00721F59">
        <w:rPr>
          <w:i/>
          <w:iCs/>
          <w:sz w:val="24"/>
          <w:szCs w:val="24"/>
        </w:rPr>
        <w:t>only if the court considers that the extension is necessary to enable the court to determine the proceedings justly’.</w:t>
      </w:r>
    </w:p>
    <w:p w14:paraId="13C4B3B3" w14:textId="3B8D0094" w:rsidR="00B9455B" w:rsidRPr="00A04BCB" w:rsidRDefault="003B2B3C" w:rsidP="00DE5520">
      <w:pPr>
        <w:jc w:val="both"/>
        <w:rPr>
          <w:sz w:val="24"/>
          <w:szCs w:val="24"/>
        </w:rPr>
      </w:pPr>
      <w:r>
        <w:rPr>
          <w:sz w:val="24"/>
          <w:szCs w:val="24"/>
        </w:rPr>
        <w:t xml:space="preserve">2. </w:t>
      </w:r>
      <w:r w:rsidR="00B9455B" w:rsidRPr="00B9455B">
        <w:rPr>
          <w:sz w:val="24"/>
          <w:szCs w:val="24"/>
        </w:rPr>
        <w:t xml:space="preserve">Part 12 of the FPR 2010 is a statutory code setting out the legal requirements for the case management of public law proceedings under the Children Act 1989.  </w:t>
      </w:r>
      <w:r w:rsidR="00B9455B">
        <w:rPr>
          <w:sz w:val="24"/>
          <w:szCs w:val="24"/>
        </w:rPr>
        <w:t>Again, i</w:t>
      </w:r>
      <w:r w:rsidR="00B9455B" w:rsidRPr="00B9455B">
        <w:rPr>
          <w:sz w:val="24"/>
          <w:szCs w:val="24"/>
        </w:rPr>
        <w:t xml:space="preserve">t </w:t>
      </w:r>
      <w:r w:rsidR="00416F2B">
        <w:rPr>
          <w:sz w:val="24"/>
          <w:szCs w:val="24"/>
        </w:rPr>
        <w:t>sets out</w:t>
      </w:r>
      <w:r w:rsidR="00B9455B" w:rsidRPr="00B9455B">
        <w:rPr>
          <w:sz w:val="24"/>
          <w:szCs w:val="24"/>
        </w:rPr>
        <w:t xml:space="preserve"> the </w:t>
      </w:r>
      <w:r w:rsidR="00B9455B" w:rsidRPr="00416F2B">
        <w:rPr>
          <w:i/>
          <w:iCs/>
          <w:sz w:val="24"/>
          <w:szCs w:val="24"/>
        </w:rPr>
        <w:t>law</w:t>
      </w:r>
      <w:r w:rsidR="00B9455B" w:rsidRPr="00B9455B">
        <w:rPr>
          <w:sz w:val="24"/>
          <w:szCs w:val="24"/>
        </w:rPr>
        <w:t xml:space="preserve"> </w:t>
      </w:r>
      <w:r w:rsidR="00D202E1">
        <w:rPr>
          <w:sz w:val="24"/>
          <w:szCs w:val="24"/>
        </w:rPr>
        <w:t>the Family Court is</w:t>
      </w:r>
      <w:r w:rsidR="00B9455B" w:rsidRPr="00B9455B">
        <w:rPr>
          <w:sz w:val="24"/>
          <w:szCs w:val="24"/>
        </w:rPr>
        <w:t xml:space="preserve"> required to apply in this regard.</w:t>
      </w:r>
    </w:p>
    <w:p w14:paraId="4BCB5B6E" w14:textId="140482B4" w:rsidR="00132AD4" w:rsidRPr="00A04BCB" w:rsidRDefault="003B2B3C" w:rsidP="00DE5520">
      <w:pPr>
        <w:jc w:val="both"/>
        <w:rPr>
          <w:sz w:val="24"/>
          <w:szCs w:val="24"/>
        </w:rPr>
      </w:pPr>
      <w:r>
        <w:rPr>
          <w:sz w:val="24"/>
          <w:szCs w:val="24"/>
        </w:rPr>
        <w:t xml:space="preserve">3. </w:t>
      </w:r>
      <w:r w:rsidR="00B57D8D" w:rsidRPr="00A04BCB">
        <w:rPr>
          <w:sz w:val="24"/>
          <w:szCs w:val="24"/>
        </w:rPr>
        <w:t xml:space="preserve">PD12A </w:t>
      </w:r>
      <w:r w:rsidR="006532AA">
        <w:rPr>
          <w:sz w:val="24"/>
          <w:szCs w:val="24"/>
        </w:rPr>
        <w:t xml:space="preserve">(hereafter the PLO) </w:t>
      </w:r>
      <w:r w:rsidR="00B57D8D" w:rsidRPr="00A04BCB">
        <w:rPr>
          <w:sz w:val="24"/>
          <w:szCs w:val="24"/>
        </w:rPr>
        <w:t xml:space="preserve">is a self-contained code designed to assist the parties and the court to deal with care proceedings justly and efficiently. </w:t>
      </w:r>
      <w:r w:rsidR="00497BCE" w:rsidRPr="00A04BCB">
        <w:rPr>
          <w:sz w:val="24"/>
          <w:szCs w:val="24"/>
        </w:rPr>
        <w:t xml:space="preserve">It places very considerable demands on all participants, but that is what Parliament has required </w:t>
      </w:r>
      <w:r w:rsidR="00F42A7E">
        <w:rPr>
          <w:sz w:val="24"/>
          <w:szCs w:val="24"/>
        </w:rPr>
        <w:t xml:space="preserve">of the courts </w:t>
      </w:r>
      <w:r w:rsidR="00497BCE" w:rsidRPr="00A04BCB">
        <w:rPr>
          <w:sz w:val="24"/>
          <w:szCs w:val="24"/>
        </w:rPr>
        <w:t>for the benefit of the children and families concerned</w:t>
      </w:r>
      <w:r w:rsidR="00C825C6" w:rsidRPr="00A04BCB">
        <w:rPr>
          <w:sz w:val="24"/>
          <w:szCs w:val="24"/>
        </w:rPr>
        <w:t>.</w:t>
      </w:r>
    </w:p>
    <w:p w14:paraId="145416C7" w14:textId="2B20D26F" w:rsidR="005143CD" w:rsidRPr="00A04BCB" w:rsidRDefault="003B2B3C" w:rsidP="00DE5520">
      <w:pPr>
        <w:jc w:val="both"/>
        <w:rPr>
          <w:sz w:val="24"/>
          <w:szCs w:val="24"/>
        </w:rPr>
      </w:pPr>
      <w:r>
        <w:rPr>
          <w:sz w:val="24"/>
          <w:szCs w:val="24"/>
        </w:rPr>
        <w:t xml:space="preserve">4. </w:t>
      </w:r>
      <w:r w:rsidR="005744FE" w:rsidRPr="00A04BCB">
        <w:rPr>
          <w:sz w:val="24"/>
          <w:szCs w:val="24"/>
        </w:rPr>
        <w:t xml:space="preserve">From </w:t>
      </w:r>
      <w:r w:rsidR="005744FE" w:rsidRPr="00D05299">
        <w:rPr>
          <w:sz w:val="24"/>
          <w:szCs w:val="24"/>
        </w:rPr>
        <w:t>16 January 202</w:t>
      </w:r>
      <w:r w:rsidR="00D05299" w:rsidRPr="00D05299">
        <w:rPr>
          <w:sz w:val="24"/>
          <w:szCs w:val="24"/>
        </w:rPr>
        <w:t>3</w:t>
      </w:r>
      <w:r w:rsidR="005744FE" w:rsidRPr="00A04BCB">
        <w:rPr>
          <w:sz w:val="24"/>
          <w:szCs w:val="24"/>
        </w:rPr>
        <w:t>, the Public Law Outline</w:t>
      </w:r>
      <w:r w:rsidR="005744FE" w:rsidRPr="00A04BCB">
        <w:rPr>
          <w:i/>
          <w:iCs/>
          <w:sz w:val="24"/>
          <w:szCs w:val="24"/>
        </w:rPr>
        <w:t xml:space="preserve"> will</w:t>
      </w:r>
      <w:r w:rsidR="005744FE" w:rsidRPr="00A04BCB">
        <w:rPr>
          <w:sz w:val="24"/>
          <w:szCs w:val="24"/>
        </w:rPr>
        <w:t xml:space="preserve"> </w:t>
      </w:r>
      <w:r w:rsidR="00335B2A">
        <w:rPr>
          <w:sz w:val="24"/>
          <w:szCs w:val="24"/>
        </w:rPr>
        <w:t xml:space="preserve">once </w:t>
      </w:r>
      <w:r w:rsidR="001F4DFE" w:rsidRPr="00A04BCB">
        <w:rPr>
          <w:sz w:val="24"/>
          <w:szCs w:val="24"/>
        </w:rPr>
        <w:t xml:space="preserve">again </w:t>
      </w:r>
      <w:r w:rsidR="005744FE" w:rsidRPr="00A04BCB">
        <w:rPr>
          <w:sz w:val="24"/>
          <w:szCs w:val="24"/>
        </w:rPr>
        <w:t xml:space="preserve">be applied rigorously by the </w:t>
      </w:r>
      <w:r w:rsidR="001F4DFE" w:rsidRPr="00A04BCB">
        <w:rPr>
          <w:sz w:val="24"/>
          <w:szCs w:val="24"/>
        </w:rPr>
        <w:t xml:space="preserve">family </w:t>
      </w:r>
      <w:r w:rsidR="00E34A1D" w:rsidRPr="00A04BCB">
        <w:rPr>
          <w:sz w:val="24"/>
          <w:szCs w:val="24"/>
        </w:rPr>
        <w:t xml:space="preserve">panel magistrates and the </w:t>
      </w:r>
      <w:r w:rsidR="004E4D3D">
        <w:rPr>
          <w:sz w:val="24"/>
          <w:szCs w:val="24"/>
        </w:rPr>
        <w:t xml:space="preserve">family </w:t>
      </w:r>
      <w:r w:rsidR="005744FE" w:rsidRPr="00A04BCB">
        <w:rPr>
          <w:sz w:val="24"/>
          <w:szCs w:val="24"/>
        </w:rPr>
        <w:t xml:space="preserve">judges on the </w:t>
      </w:r>
      <w:r w:rsidR="00721F59">
        <w:rPr>
          <w:sz w:val="24"/>
          <w:szCs w:val="24"/>
        </w:rPr>
        <w:t>South Eastern</w:t>
      </w:r>
      <w:r w:rsidR="005744FE" w:rsidRPr="00A04BCB">
        <w:rPr>
          <w:sz w:val="24"/>
          <w:szCs w:val="24"/>
        </w:rPr>
        <w:t xml:space="preserve"> Circuit in all public law family proceedings.  </w:t>
      </w:r>
      <w:r w:rsidR="005143CD" w:rsidRPr="00A04BCB">
        <w:rPr>
          <w:sz w:val="24"/>
          <w:szCs w:val="24"/>
        </w:rPr>
        <w:t>The primary consequences of this will be as follows.</w:t>
      </w:r>
    </w:p>
    <w:p w14:paraId="62C6E551" w14:textId="622FEF90" w:rsidR="00454D7B" w:rsidRPr="00887330" w:rsidRDefault="00454D7B" w:rsidP="002C1238">
      <w:pPr>
        <w:rPr>
          <w:b/>
          <w:bCs/>
          <w:sz w:val="28"/>
          <w:szCs w:val="28"/>
        </w:rPr>
      </w:pPr>
      <w:r w:rsidRPr="00887330">
        <w:rPr>
          <w:b/>
          <w:bCs/>
          <w:sz w:val="28"/>
          <w:szCs w:val="28"/>
        </w:rPr>
        <w:t xml:space="preserve">Adherence to </w:t>
      </w:r>
      <w:r w:rsidR="006F204C" w:rsidRPr="00887330">
        <w:rPr>
          <w:b/>
          <w:bCs/>
          <w:sz w:val="28"/>
          <w:szCs w:val="28"/>
        </w:rPr>
        <w:t>the FPR</w:t>
      </w:r>
      <w:r w:rsidR="00FE7EC8" w:rsidRPr="00887330">
        <w:rPr>
          <w:b/>
          <w:bCs/>
          <w:sz w:val="28"/>
          <w:szCs w:val="28"/>
        </w:rPr>
        <w:t xml:space="preserve"> 2010</w:t>
      </w:r>
    </w:p>
    <w:p w14:paraId="7D281A3A" w14:textId="7CB25004" w:rsidR="006B7519" w:rsidRPr="00A04BCB" w:rsidRDefault="003B2B3C" w:rsidP="00454D7B">
      <w:pPr>
        <w:jc w:val="both"/>
        <w:rPr>
          <w:sz w:val="24"/>
          <w:szCs w:val="24"/>
        </w:rPr>
      </w:pPr>
      <w:r>
        <w:rPr>
          <w:sz w:val="24"/>
          <w:szCs w:val="24"/>
        </w:rPr>
        <w:t xml:space="preserve">5. </w:t>
      </w:r>
      <w:r w:rsidR="006B7519" w:rsidRPr="00A04BCB">
        <w:rPr>
          <w:sz w:val="24"/>
          <w:szCs w:val="24"/>
        </w:rPr>
        <w:t xml:space="preserve">The Family Procedure Rules 2010 provide the definitive procedural code for the Family Court and </w:t>
      </w:r>
      <w:r w:rsidR="006B7519" w:rsidRPr="004E4D3D">
        <w:rPr>
          <w:i/>
          <w:iCs/>
          <w:sz w:val="24"/>
          <w:szCs w:val="24"/>
        </w:rPr>
        <w:t>must</w:t>
      </w:r>
      <w:r w:rsidR="006B7519" w:rsidRPr="00A04BCB">
        <w:rPr>
          <w:sz w:val="24"/>
          <w:szCs w:val="24"/>
        </w:rPr>
        <w:t xml:space="preserve"> be adhered to by all parties.</w:t>
      </w:r>
    </w:p>
    <w:p w14:paraId="5D6318EF" w14:textId="2A0BBB55" w:rsidR="007E732D" w:rsidRPr="00A04BCB" w:rsidRDefault="003B2B3C" w:rsidP="00454D7B">
      <w:pPr>
        <w:jc w:val="both"/>
        <w:rPr>
          <w:sz w:val="24"/>
          <w:szCs w:val="24"/>
        </w:rPr>
      </w:pPr>
      <w:r>
        <w:rPr>
          <w:sz w:val="24"/>
          <w:szCs w:val="24"/>
        </w:rPr>
        <w:t xml:space="preserve">6. </w:t>
      </w:r>
      <w:r w:rsidR="00F71F45" w:rsidRPr="00A04BCB">
        <w:rPr>
          <w:sz w:val="24"/>
          <w:szCs w:val="24"/>
        </w:rPr>
        <w:t>In particular, any</w:t>
      </w:r>
      <w:r w:rsidR="00454D7B" w:rsidRPr="00A04BCB">
        <w:rPr>
          <w:sz w:val="24"/>
          <w:szCs w:val="24"/>
        </w:rPr>
        <w:t xml:space="preserve"> </w:t>
      </w:r>
      <w:r w:rsidR="00F37C90">
        <w:rPr>
          <w:sz w:val="24"/>
          <w:szCs w:val="24"/>
        </w:rPr>
        <w:t xml:space="preserve">formal </w:t>
      </w:r>
      <w:r w:rsidR="00454D7B" w:rsidRPr="00A04BCB">
        <w:rPr>
          <w:sz w:val="24"/>
          <w:szCs w:val="24"/>
        </w:rPr>
        <w:t xml:space="preserve">application </w:t>
      </w:r>
      <w:r w:rsidR="0091452F" w:rsidRPr="00A04BCB">
        <w:rPr>
          <w:sz w:val="24"/>
          <w:szCs w:val="24"/>
        </w:rPr>
        <w:t>within public law proceedings</w:t>
      </w:r>
      <w:r w:rsidR="00454D7B" w:rsidRPr="00A04BCB">
        <w:rPr>
          <w:sz w:val="24"/>
          <w:szCs w:val="24"/>
        </w:rPr>
        <w:t xml:space="preserve"> </w:t>
      </w:r>
      <w:r w:rsidR="00BD3598">
        <w:rPr>
          <w:sz w:val="24"/>
          <w:szCs w:val="24"/>
        </w:rPr>
        <w:t xml:space="preserve">should </w:t>
      </w:r>
      <w:r w:rsidR="00454D7B" w:rsidRPr="00A04BCB">
        <w:rPr>
          <w:sz w:val="24"/>
          <w:szCs w:val="24"/>
        </w:rPr>
        <w:t xml:space="preserve">be issued </w:t>
      </w:r>
      <w:r w:rsidR="00F71F45" w:rsidRPr="00A04BCB">
        <w:rPr>
          <w:sz w:val="24"/>
          <w:szCs w:val="24"/>
        </w:rPr>
        <w:t xml:space="preserve">on the correct </w:t>
      </w:r>
      <w:r w:rsidR="0091452F" w:rsidRPr="00A04BCB">
        <w:rPr>
          <w:sz w:val="24"/>
          <w:szCs w:val="24"/>
        </w:rPr>
        <w:t xml:space="preserve">court </w:t>
      </w:r>
      <w:r w:rsidR="00F71F45" w:rsidRPr="00A04BCB">
        <w:rPr>
          <w:sz w:val="24"/>
          <w:szCs w:val="24"/>
        </w:rPr>
        <w:t xml:space="preserve">form </w:t>
      </w:r>
      <w:r w:rsidR="00454D7B" w:rsidRPr="00A04BCB">
        <w:rPr>
          <w:sz w:val="24"/>
          <w:szCs w:val="24"/>
        </w:rPr>
        <w:t xml:space="preserve">and </w:t>
      </w:r>
      <w:r w:rsidR="00F71F45" w:rsidRPr="00A04BCB">
        <w:rPr>
          <w:sz w:val="24"/>
          <w:szCs w:val="24"/>
        </w:rPr>
        <w:t xml:space="preserve">the correct </w:t>
      </w:r>
      <w:r w:rsidR="00454D7B" w:rsidRPr="00A04BCB">
        <w:rPr>
          <w:sz w:val="24"/>
          <w:szCs w:val="24"/>
        </w:rPr>
        <w:t>fee paid</w:t>
      </w:r>
      <w:r w:rsidR="00EE0CE3">
        <w:rPr>
          <w:sz w:val="24"/>
          <w:szCs w:val="24"/>
        </w:rPr>
        <w:t xml:space="preserve"> and issued through FPL</w:t>
      </w:r>
      <w:r w:rsidR="00DF6E0D">
        <w:rPr>
          <w:sz w:val="24"/>
          <w:szCs w:val="24"/>
        </w:rPr>
        <w:t xml:space="preserve"> before the court will deal with the application</w:t>
      </w:r>
      <w:r w:rsidR="00454D7B" w:rsidRPr="00A04BCB">
        <w:rPr>
          <w:sz w:val="24"/>
          <w:szCs w:val="24"/>
        </w:rPr>
        <w:t xml:space="preserve">.  </w:t>
      </w:r>
      <w:r w:rsidR="00814C38">
        <w:rPr>
          <w:sz w:val="24"/>
          <w:szCs w:val="24"/>
        </w:rPr>
        <w:t>Save where the DFJ or the allocated judge has made different provision documents should be uploaded via FPL.</w:t>
      </w:r>
    </w:p>
    <w:p w14:paraId="0C2E4019" w14:textId="58ED454C" w:rsidR="000B5CD9" w:rsidRPr="00A04BCB" w:rsidRDefault="003B2B3C" w:rsidP="00454D7B">
      <w:pPr>
        <w:jc w:val="both"/>
        <w:rPr>
          <w:sz w:val="24"/>
          <w:szCs w:val="24"/>
        </w:rPr>
      </w:pPr>
      <w:r>
        <w:rPr>
          <w:sz w:val="24"/>
          <w:szCs w:val="24"/>
        </w:rPr>
        <w:t xml:space="preserve">7. </w:t>
      </w:r>
      <w:r w:rsidR="00454D7B" w:rsidRPr="00A04BCB">
        <w:rPr>
          <w:sz w:val="24"/>
          <w:szCs w:val="24"/>
        </w:rPr>
        <w:t xml:space="preserve">It will no longer be acceptable for applications </w:t>
      </w:r>
      <w:r w:rsidR="00902516">
        <w:rPr>
          <w:sz w:val="24"/>
          <w:szCs w:val="24"/>
        </w:rPr>
        <w:t>for</w:t>
      </w:r>
      <w:r w:rsidR="00454D7B" w:rsidRPr="00A04BCB">
        <w:rPr>
          <w:sz w:val="24"/>
          <w:szCs w:val="24"/>
        </w:rPr>
        <w:t xml:space="preserve"> case management directions </w:t>
      </w:r>
      <w:r w:rsidR="00902516">
        <w:rPr>
          <w:sz w:val="24"/>
          <w:szCs w:val="24"/>
        </w:rPr>
        <w:t xml:space="preserve">or their variation </w:t>
      </w:r>
      <w:r w:rsidR="00454D7B" w:rsidRPr="00A04BCB">
        <w:rPr>
          <w:sz w:val="24"/>
          <w:szCs w:val="24"/>
        </w:rPr>
        <w:t>to be made by way of email</w:t>
      </w:r>
      <w:r w:rsidR="00C70D0A">
        <w:rPr>
          <w:sz w:val="24"/>
          <w:szCs w:val="24"/>
        </w:rPr>
        <w:t>,</w:t>
      </w:r>
      <w:r w:rsidR="00454D7B" w:rsidRPr="00A04BCB">
        <w:rPr>
          <w:sz w:val="24"/>
          <w:szCs w:val="24"/>
        </w:rPr>
        <w:t xml:space="preserve"> avoiding the payment of the application fee.</w:t>
      </w:r>
      <w:r w:rsidR="007E732D" w:rsidRPr="00A04BCB">
        <w:rPr>
          <w:sz w:val="24"/>
          <w:szCs w:val="24"/>
        </w:rPr>
        <w:t xml:space="preserve">  Emails requesting case management directions</w:t>
      </w:r>
      <w:r w:rsidR="0091452F" w:rsidRPr="00A04BCB">
        <w:rPr>
          <w:sz w:val="24"/>
          <w:szCs w:val="24"/>
        </w:rPr>
        <w:t>,</w:t>
      </w:r>
      <w:r w:rsidR="007E732D" w:rsidRPr="00A04BCB">
        <w:rPr>
          <w:sz w:val="24"/>
          <w:szCs w:val="24"/>
        </w:rPr>
        <w:t xml:space="preserve"> or amendments thereto</w:t>
      </w:r>
      <w:r w:rsidR="0091452F" w:rsidRPr="00A04BCB">
        <w:rPr>
          <w:sz w:val="24"/>
          <w:szCs w:val="24"/>
        </w:rPr>
        <w:t>,</w:t>
      </w:r>
      <w:r w:rsidR="007E732D" w:rsidRPr="00A04BCB">
        <w:rPr>
          <w:sz w:val="24"/>
          <w:szCs w:val="24"/>
        </w:rPr>
        <w:t xml:space="preserve"> will no longer be accepted</w:t>
      </w:r>
      <w:r w:rsidR="004A6679">
        <w:rPr>
          <w:sz w:val="24"/>
          <w:szCs w:val="24"/>
        </w:rPr>
        <w:t xml:space="preserve">, </w:t>
      </w:r>
      <w:r w:rsidR="00C831A2">
        <w:rPr>
          <w:sz w:val="24"/>
          <w:szCs w:val="24"/>
        </w:rPr>
        <w:t xml:space="preserve">save for instance in relation to simple requests to excuse the personal attendance of a </w:t>
      </w:r>
      <w:r w:rsidR="00C831A2">
        <w:rPr>
          <w:sz w:val="24"/>
          <w:szCs w:val="24"/>
        </w:rPr>
        <w:lastRenderedPageBreak/>
        <w:t>guardian or a party or other quasi-administrative issues</w:t>
      </w:r>
      <w:r w:rsidR="00E62951">
        <w:rPr>
          <w:sz w:val="24"/>
          <w:szCs w:val="24"/>
        </w:rPr>
        <w:t xml:space="preserve"> or where the DFJ has made different local arrangements</w:t>
      </w:r>
      <w:r w:rsidR="00C831A2" w:rsidRPr="00A04BCB">
        <w:rPr>
          <w:sz w:val="24"/>
          <w:szCs w:val="24"/>
        </w:rPr>
        <w:t>.</w:t>
      </w:r>
    </w:p>
    <w:p w14:paraId="6DB39AC3" w14:textId="679ABB56" w:rsidR="00AB5563" w:rsidRPr="00887330" w:rsidRDefault="00AB5563" w:rsidP="00454D7B">
      <w:pPr>
        <w:jc w:val="both"/>
        <w:rPr>
          <w:b/>
          <w:bCs/>
          <w:sz w:val="28"/>
          <w:szCs w:val="28"/>
        </w:rPr>
      </w:pPr>
      <w:r w:rsidRPr="00887330">
        <w:rPr>
          <w:b/>
          <w:bCs/>
          <w:sz w:val="28"/>
          <w:szCs w:val="28"/>
        </w:rPr>
        <w:t xml:space="preserve">Rigorous </w:t>
      </w:r>
      <w:r w:rsidR="007D1D92" w:rsidRPr="00887330">
        <w:rPr>
          <w:b/>
          <w:bCs/>
          <w:sz w:val="28"/>
          <w:szCs w:val="28"/>
        </w:rPr>
        <w:t>p</w:t>
      </w:r>
      <w:r w:rsidRPr="00887330">
        <w:rPr>
          <w:b/>
          <w:bCs/>
          <w:sz w:val="28"/>
          <w:szCs w:val="28"/>
        </w:rPr>
        <w:t xml:space="preserve">olicing of ‘Urgent’ </w:t>
      </w:r>
      <w:r w:rsidR="007D1D92" w:rsidRPr="00887330">
        <w:rPr>
          <w:b/>
          <w:bCs/>
          <w:sz w:val="28"/>
          <w:szCs w:val="28"/>
        </w:rPr>
        <w:t>a</w:t>
      </w:r>
      <w:r w:rsidRPr="00887330">
        <w:rPr>
          <w:b/>
          <w:bCs/>
          <w:sz w:val="28"/>
          <w:szCs w:val="28"/>
        </w:rPr>
        <w:t>pplications.</w:t>
      </w:r>
    </w:p>
    <w:p w14:paraId="43313E62" w14:textId="6343B3EC" w:rsidR="00B40ADA" w:rsidRPr="00A04BCB" w:rsidRDefault="003B2B3C" w:rsidP="00454D7B">
      <w:pPr>
        <w:jc w:val="both"/>
        <w:rPr>
          <w:sz w:val="24"/>
          <w:szCs w:val="24"/>
        </w:rPr>
      </w:pPr>
      <w:r>
        <w:rPr>
          <w:sz w:val="24"/>
          <w:szCs w:val="24"/>
        </w:rPr>
        <w:t xml:space="preserve">8. </w:t>
      </w:r>
      <w:r w:rsidR="00F12B5C" w:rsidRPr="00A04BCB">
        <w:rPr>
          <w:sz w:val="24"/>
          <w:szCs w:val="24"/>
        </w:rPr>
        <w:t xml:space="preserve">It was, and should be again, </w:t>
      </w:r>
      <w:r w:rsidR="00F12B5C" w:rsidRPr="00C70D0A">
        <w:rPr>
          <w:i/>
          <w:iCs/>
          <w:sz w:val="24"/>
          <w:szCs w:val="24"/>
        </w:rPr>
        <w:t>very</w:t>
      </w:r>
      <w:r w:rsidR="00F12B5C" w:rsidRPr="00A04BCB">
        <w:rPr>
          <w:sz w:val="24"/>
          <w:szCs w:val="24"/>
        </w:rPr>
        <w:t xml:space="preserve"> rare for a </w:t>
      </w:r>
      <w:r w:rsidR="00B40ADA" w:rsidRPr="00A04BCB">
        <w:rPr>
          <w:sz w:val="24"/>
          <w:szCs w:val="24"/>
        </w:rPr>
        <w:t xml:space="preserve">public law </w:t>
      </w:r>
      <w:r w:rsidR="00F12B5C" w:rsidRPr="00A04BCB">
        <w:rPr>
          <w:sz w:val="24"/>
          <w:szCs w:val="24"/>
        </w:rPr>
        <w:t xml:space="preserve">case </w:t>
      </w:r>
      <w:r w:rsidR="00B40ADA" w:rsidRPr="00A04BCB">
        <w:rPr>
          <w:sz w:val="24"/>
          <w:szCs w:val="24"/>
        </w:rPr>
        <w:t>to require an</w:t>
      </w:r>
      <w:r w:rsidR="00F12B5C" w:rsidRPr="00A04BCB">
        <w:rPr>
          <w:sz w:val="24"/>
          <w:szCs w:val="24"/>
        </w:rPr>
        <w:t xml:space="preserve"> urgent </w:t>
      </w:r>
      <w:r w:rsidR="00B40ADA" w:rsidRPr="00A04BCB">
        <w:rPr>
          <w:sz w:val="24"/>
          <w:szCs w:val="24"/>
        </w:rPr>
        <w:t xml:space="preserve">first hearing.  </w:t>
      </w:r>
      <w:r w:rsidR="00B50A41" w:rsidRPr="00A04BCB">
        <w:rPr>
          <w:sz w:val="24"/>
          <w:szCs w:val="24"/>
        </w:rPr>
        <w:t xml:space="preserve">The courts will be rigorous in </w:t>
      </w:r>
      <w:r w:rsidR="00D22E08" w:rsidRPr="00A04BCB">
        <w:rPr>
          <w:sz w:val="24"/>
          <w:szCs w:val="24"/>
        </w:rPr>
        <w:t>policing the question of urgency.</w:t>
      </w:r>
      <w:r w:rsidR="00721F59">
        <w:rPr>
          <w:sz w:val="24"/>
          <w:szCs w:val="24"/>
        </w:rPr>
        <w:t xml:space="preserve"> A case which is listed as an urgent </w:t>
      </w:r>
      <w:proofErr w:type="gramStart"/>
      <w:r w:rsidR="00721F59">
        <w:rPr>
          <w:sz w:val="24"/>
          <w:szCs w:val="24"/>
        </w:rPr>
        <w:t>matter</w:t>
      </w:r>
      <w:proofErr w:type="gramEnd"/>
      <w:r w:rsidR="00721F59">
        <w:rPr>
          <w:sz w:val="24"/>
          <w:szCs w:val="24"/>
        </w:rPr>
        <w:t xml:space="preserve"> but which is not capable of determination or is otherwise not urgent wastes the resources of all concerned and prevents other work being undertaken.</w:t>
      </w:r>
    </w:p>
    <w:p w14:paraId="6026622A" w14:textId="2535C8DD" w:rsidR="00AB5563" w:rsidRPr="00A04BCB" w:rsidRDefault="003B2B3C" w:rsidP="00454D7B">
      <w:pPr>
        <w:jc w:val="both"/>
        <w:rPr>
          <w:sz w:val="24"/>
          <w:szCs w:val="24"/>
        </w:rPr>
      </w:pPr>
      <w:r>
        <w:rPr>
          <w:sz w:val="24"/>
          <w:szCs w:val="24"/>
        </w:rPr>
        <w:t xml:space="preserve">9. </w:t>
      </w:r>
      <w:r w:rsidR="00D22E08" w:rsidRPr="00A04BCB">
        <w:rPr>
          <w:sz w:val="24"/>
          <w:szCs w:val="24"/>
        </w:rPr>
        <w:t xml:space="preserve">Where an application is not, in fact, demonstrably urgent, </w:t>
      </w:r>
      <w:r w:rsidR="00927F65">
        <w:rPr>
          <w:sz w:val="24"/>
          <w:szCs w:val="24"/>
        </w:rPr>
        <w:t>the court will refuse to hear it as such</w:t>
      </w:r>
      <w:r w:rsidR="004102D4">
        <w:rPr>
          <w:sz w:val="24"/>
          <w:szCs w:val="24"/>
        </w:rPr>
        <w:t>,</w:t>
      </w:r>
      <w:r w:rsidR="00927F65">
        <w:rPr>
          <w:sz w:val="24"/>
          <w:szCs w:val="24"/>
        </w:rPr>
        <w:t xml:space="preserve"> and </w:t>
      </w:r>
      <w:r w:rsidR="00D22E08" w:rsidRPr="00A04BCB">
        <w:rPr>
          <w:sz w:val="24"/>
          <w:szCs w:val="24"/>
        </w:rPr>
        <w:t>it will be listed with a fixture in the ordinary way.</w:t>
      </w:r>
    </w:p>
    <w:p w14:paraId="689AC449" w14:textId="6D65F59D" w:rsidR="00FE7EC8" w:rsidRPr="00887330" w:rsidRDefault="009D1A8F" w:rsidP="00FE7EC8">
      <w:pPr>
        <w:jc w:val="both"/>
        <w:rPr>
          <w:b/>
          <w:bCs/>
          <w:sz w:val="28"/>
          <w:szCs w:val="28"/>
        </w:rPr>
      </w:pPr>
      <w:r w:rsidRPr="00887330">
        <w:rPr>
          <w:b/>
          <w:bCs/>
          <w:sz w:val="28"/>
          <w:szCs w:val="28"/>
        </w:rPr>
        <w:t>Making cases smaller</w:t>
      </w:r>
    </w:p>
    <w:p w14:paraId="07F9468E" w14:textId="6C9A4BD2" w:rsidR="00BA3AB5" w:rsidRPr="00A04BCB" w:rsidRDefault="003B2B3C" w:rsidP="00FE7EC8">
      <w:pPr>
        <w:jc w:val="both"/>
        <w:rPr>
          <w:sz w:val="24"/>
          <w:szCs w:val="24"/>
        </w:rPr>
      </w:pPr>
      <w:r>
        <w:rPr>
          <w:sz w:val="24"/>
          <w:szCs w:val="24"/>
        </w:rPr>
        <w:t xml:space="preserve">10. </w:t>
      </w:r>
      <w:proofErr w:type="gramStart"/>
      <w:r w:rsidR="00FE7EC8" w:rsidRPr="00A04BCB">
        <w:rPr>
          <w:sz w:val="24"/>
          <w:szCs w:val="24"/>
        </w:rPr>
        <w:t>During the course of</w:t>
      </w:r>
      <w:proofErr w:type="gramEnd"/>
      <w:r w:rsidR="00FE7EC8" w:rsidRPr="00A04BCB">
        <w:rPr>
          <w:sz w:val="24"/>
          <w:szCs w:val="24"/>
        </w:rPr>
        <w:t xml:space="preserve"> the past two years there has been a marked increase in the number of hearings per case. </w:t>
      </w:r>
      <w:r w:rsidR="00BA3AB5" w:rsidRPr="00A04BCB">
        <w:rPr>
          <w:sz w:val="24"/>
          <w:szCs w:val="24"/>
        </w:rPr>
        <w:t xml:space="preserve"> Cases will be made ‘smaller’ by reducing the number of hearings per case </w:t>
      </w:r>
      <w:r w:rsidR="006E6B2F">
        <w:rPr>
          <w:sz w:val="24"/>
          <w:szCs w:val="24"/>
        </w:rPr>
        <w:t xml:space="preserve">to that prescribed by the PLO </w:t>
      </w:r>
      <w:r w:rsidR="00BA3AB5" w:rsidRPr="00A04BCB">
        <w:rPr>
          <w:sz w:val="24"/>
          <w:szCs w:val="24"/>
        </w:rPr>
        <w:t>and by making ‘every hearing count</w:t>
      </w:r>
      <w:r w:rsidR="004102D4">
        <w:rPr>
          <w:sz w:val="24"/>
          <w:szCs w:val="24"/>
        </w:rPr>
        <w:t>’</w:t>
      </w:r>
      <w:r w:rsidR="00BA3AB5" w:rsidRPr="00A04BCB">
        <w:rPr>
          <w:sz w:val="24"/>
          <w:szCs w:val="24"/>
        </w:rPr>
        <w:t>.</w:t>
      </w:r>
      <w:r w:rsidR="00C324C5">
        <w:rPr>
          <w:sz w:val="24"/>
          <w:szCs w:val="24"/>
        </w:rPr>
        <w:t xml:space="preserve"> We are conscious of the fact that issues with availability of interpreters</w:t>
      </w:r>
      <w:r w:rsidR="00EA4BBA">
        <w:rPr>
          <w:sz w:val="24"/>
          <w:szCs w:val="24"/>
        </w:rPr>
        <w:t xml:space="preserve"> and intermediaries, administration delays and other factors</w:t>
      </w:r>
      <w:r w:rsidR="003A43BE">
        <w:rPr>
          <w:sz w:val="24"/>
          <w:szCs w:val="24"/>
        </w:rPr>
        <w:t xml:space="preserve"> contribute to this and that part of the increase in hearings per case relates to Covid 19</w:t>
      </w:r>
      <w:r w:rsidR="006439E7">
        <w:rPr>
          <w:sz w:val="24"/>
          <w:szCs w:val="24"/>
        </w:rPr>
        <w:t xml:space="preserve">. </w:t>
      </w:r>
      <w:proofErr w:type="gramStart"/>
      <w:r w:rsidR="006439E7">
        <w:rPr>
          <w:sz w:val="24"/>
          <w:szCs w:val="24"/>
        </w:rPr>
        <w:t>However</w:t>
      </w:r>
      <w:proofErr w:type="gramEnd"/>
      <w:r w:rsidR="006439E7">
        <w:rPr>
          <w:sz w:val="24"/>
          <w:szCs w:val="24"/>
        </w:rPr>
        <w:t xml:space="preserve"> returning to the 3 hearings per case model is worth striving for</w:t>
      </w:r>
      <w:r w:rsidR="007F2FCD">
        <w:rPr>
          <w:sz w:val="24"/>
          <w:szCs w:val="24"/>
        </w:rPr>
        <w:t>, freeing up as it does space for other cases and thus reducing delay for children.</w:t>
      </w:r>
      <w:r w:rsidR="00EA4BBA">
        <w:rPr>
          <w:sz w:val="24"/>
          <w:szCs w:val="24"/>
        </w:rPr>
        <w:t xml:space="preserve"> </w:t>
      </w:r>
    </w:p>
    <w:p w14:paraId="5F7F6EA5" w14:textId="62713F78" w:rsidR="00FE7EC8" w:rsidRPr="00A04BCB" w:rsidRDefault="003B2B3C" w:rsidP="00FE7EC8">
      <w:pPr>
        <w:jc w:val="both"/>
        <w:rPr>
          <w:sz w:val="24"/>
          <w:szCs w:val="24"/>
        </w:rPr>
      </w:pPr>
      <w:r>
        <w:rPr>
          <w:sz w:val="24"/>
          <w:szCs w:val="24"/>
        </w:rPr>
        <w:t xml:space="preserve">11. </w:t>
      </w:r>
      <w:r w:rsidR="00FE7EC8" w:rsidRPr="00A04BCB">
        <w:rPr>
          <w:sz w:val="24"/>
          <w:szCs w:val="24"/>
        </w:rPr>
        <w:t>All public law cases will now return to the much tighter procedural template required by the P</w:t>
      </w:r>
      <w:r w:rsidR="006E6B2F">
        <w:rPr>
          <w:sz w:val="24"/>
          <w:szCs w:val="24"/>
        </w:rPr>
        <w:t>LO</w:t>
      </w:r>
      <w:r w:rsidR="00FE7EC8" w:rsidRPr="00A04BCB">
        <w:rPr>
          <w:sz w:val="24"/>
          <w:szCs w:val="24"/>
        </w:rPr>
        <w:t>.  Each case will, save where necessary</w:t>
      </w:r>
      <w:r w:rsidR="000F754F" w:rsidRPr="00A04BCB">
        <w:rPr>
          <w:sz w:val="24"/>
          <w:szCs w:val="24"/>
        </w:rPr>
        <w:t xml:space="preserve"> to deal with the case justly</w:t>
      </w:r>
      <w:r w:rsidR="006E314E" w:rsidRPr="00A04BCB">
        <w:rPr>
          <w:sz w:val="24"/>
          <w:szCs w:val="24"/>
        </w:rPr>
        <w:t>, be limited to the three hearings provided for by the PLO.</w:t>
      </w:r>
      <w:r w:rsidR="00715046">
        <w:rPr>
          <w:sz w:val="24"/>
          <w:szCs w:val="24"/>
        </w:rPr>
        <w:t xml:space="preserve"> It is intended that each order should record the date of the next hearing. </w:t>
      </w:r>
    </w:p>
    <w:p w14:paraId="5FA673D5" w14:textId="1EE3AEDE" w:rsidR="00250153" w:rsidRPr="00A04BCB" w:rsidRDefault="003B2B3C" w:rsidP="00250153">
      <w:pPr>
        <w:jc w:val="both"/>
        <w:rPr>
          <w:sz w:val="24"/>
          <w:szCs w:val="24"/>
        </w:rPr>
      </w:pPr>
      <w:r>
        <w:rPr>
          <w:sz w:val="24"/>
          <w:szCs w:val="24"/>
        </w:rPr>
        <w:t xml:space="preserve">12. </w:t>
      </w:r>
      <w:r w:rsidR="00250153" w:rsidRPr="00A04BCB">
        <w:rPr>
          <w:sz w:val="24"/>
          <w:szCs w:val="24"/>
        </w:rPr>
        <w:t>As such,</w:t>
      </w:r>
      <w:r w:rsidR="00CA75FD">
        <w:rPr>
          <w:sz w:val="24"/>
          <w:szCs w:val="24"/>
        </w:rPr>
        <w:t xml:space="preserve"> and</w:t>
      </w:r>
      <w:r w:rsidR="00250153" w:rsidRPr="00A04BCB">
        <w:rPr>
          <w:sz w:val="24"/>
          <w:szCs w:val="24"/>
        </w:rPr>
        <w:t xml:space="preserve"> as required by the PLO, the first hearing will be the Case Management Hearing, held not before Day 12 and no later than Day 18</w:t>
      </w:r>
      <w:r w:rsidR="00AC3A5C">
        <w:rPr>
          <w:sz w:val="24"/>
          <w:szCs w:val="24"/>
        </w:rPr>
        <w:t>,</w:t>
      </w:r>
      <w:r w:rsidR="00250153" w:rsidRPr="00A04BCB">
        <w:rPr>
          <w:sz w:val="24"/>
          <w:szCs w:val="24"/>
        </w:rPr>
        <w:t xml:space="preserve"> with an advocates meeting to be held no later than 2 days before the Case Management Hearing.</w:t>
      </w:r>
      <w:r w:rsidR="006B5A40">
        <w:rPr>
          <w:sz w:val="24"/>
          <w:szCs w:val="24"/>
        </w:rPr>
        <w:t xml:space="preserve"> The Local Authority MUST provide their Threshold document in accordance with the PLO </w:t>
      </w:r>
      <w:r w:rsidR="00516690">
        <w:rPr>
          <w:sz w:val="24"/>
          <w:szCs w:val="24"/>
        </w:rPr>
        <w:t xml:space="preserve">(no more than </w:t>
      </w:r>
      <w:r w:rsidR="00FF7C0D">
        <w:rPr>
          <w:sz w:val="24"/>
          <w:szCs w:val="24"/>
        </w:rPr>
        <w:t xml:space="preserve">2 pages in the Application) </w:t>
      </w:r>
      <w:r w:rsidR="006B5A40">
        <w:rPr>
          <w:sz w:val="24"/>
          <w:szCs w:val="24"/>
        </w:rPr>
        <w:t xml:space="preserve">and the parents MUST provide their response </w:t>
      </w:r>
      <w:r w:rsidR="009E05E1">
        <w:rPr>
          <w:sz w:val="24"/>
          <w:szCs w:val="24"/>
        </w:rPr>
        <w:t>before the CMH.  The Threshold</w:t>
      </w:r>
      <w:r w:rsidR="00E0132F">
        <w:rPr>
          <w:sz w:val="24"/>
          <w:szCs w:val="24"/>
        </w:rPr>
        <w:t xml:space="preserve"> included in the Application</w:t>
      </w:r>
      <w:r w:rsidR="009E05E1">
        <w:rPr>
          <w:sz w:val="24"/>
          <w:szCs w:val="24"/>
        </w:rPr>
        <w:t xml:space="preserve"> </w:t>
      </w:r>
      <w:r w:rsidR="003D16FB">
        <w:rPr>
          <w:sz w:val="24"/>
          <w:szCs w:val="24"/>
        </w:rPr>
        <w:t xml:space="preserve">should be regarded as </w:t>
      </w:r>
      <w:r w:rsidR="00E0132F">
        <w:rPr>
          <w:sz w:val="24"/>
          <w:szCs w:val="24"/>
        </w:rPr>
        <w:t>the definitive statement of the LA case</w:t>
      </w:r>
      <w:r w:rsidR="00B87552">
        <w:rPr>
          <w:sz w:val="24"/>
          <w:szCs w:val="24"/>
        </w:rPr>
        <w:t xml:space="preserve"> and is amendable only where the court determines that is </w:t>
      </w:r>
      <w:r w:rsidR="004C5DFD">
        <w:rPr>
          <w:sz w:val="24"/>
          <w:szCs w:val="24"/>
        </w:rPr>
        <w:t>required</w:t>
      </w:r>
      <w:r w:rsidR="00B87552">
        <w:rPr>
          <w:sz w:val="24"/>
          <w:szCs w:val="24"/>
        </w:rPr>
        <w:t xml:space="preserve"> to enable the proceedings to be determined justly. </w:t>
      </w:r>
    </w:p>
    <w:p w14:paraId="3E394FBD" w14:textId="2EDEBF35" w:rsidR="009D14A7" w:rsidRDefault="003B2B3C" w:rsidP="00250153">
      <w:pPr>
        <w:jc w:val="both"/>
        <w:rPr>
          <w:sz w:val="24"/>
          <w:szCs w:val="24"/>
        </w:rPr>
      </w:pPr>
      <w:r>
        <w:rPr>
          <w:sz w:val="24"/>
          <w:szCs w:val="24"/>
        </w:rPr>
        <w:t xml:space="preserve">13. </w:t>
      </w:r>
      <w:r w:rsidR="009D14A7" w:rsidRPr="00A04BCB">
        <w:rPr>
          <w:sz w:val="24"/>
          <w:szCs w:val="24"/>
        </w:rPr>
        <w:t xml:space="preserve">Thereafter, </w:t>
      </w:r>
      <w:r w:rsidR="00CA75FD">
        <w:rPr>
          <w:sz w:val="24"/>
          <w:szCs w:val="24"/>
        </w:rPr>
        <w:t>n</w:t>
      </w:r>
      <w:r w:rsidR="009D14A7" w:rsidRPr="00A04BCB">
        <w:rPr>
          <w:sz w:val="24"/>
          <w:szCs w:val="24"/>
        </w:rPr>
        <w:t xml:space="preserve">o other hearing should </w:t>
      </w:r>
      <w:r w:rsidR="00D867FC">
        <w:rPr>
          <w:sz w:val="24"/>
          <w:szCs w:val="24"/>
        </w:rPr>
        <w:t>ordinarily</w:t>
      </w:r>
      <w:r w:rsidR="009D14A7" w:rsidRPr="00A04BCB">
        <w:rPr>
          <w:sz w:val="24"/>
          <w:szCs w:val="24"/>
        </w:rPr>
        <w:t xml:space="preserve"> be listed after the C</w:t>
      </w:r>
      <w:r w:rsidR="00CA75FD">
        <w:rPr>
          <w:sz w:val="24"/>
          <w:szCs w:val="24"/>
        </w:rPr>
        <w:t>ase Management Hearing</w:t>
      </w:r>
      <w:r w:rsidR="009D14A7" w:rsidRPr="00A04BCB">
        <w:rPr>
          <w:sz w:val="24"/>
          <w:szCs w:val="24"/>
        </w:rPr>
        <w:t xml:space="preserve"> until the Issues Resolution Hearing</w:t>
      </w:r>
      <w:r w:rsidR="007A26D4" w:rsidRPr="00A04BCB">
        <w:rPr>
          <w:sz w:val="24"/>
          <w:szCs w:val="24"/>
        </w:rPr>
        <w:t xml:space="preserve">.  A final hearing will only be </w:t>
      </w:r>
      <w:r w:rsidR="000F7677">
        <w:rPr>
          <w:sz w:val="24"/>
          <w:szCs w:val="24"/>
        </w:rPr>
        <w:t>required</w:t>
      </w:r>
      <w:r w:rsidR="007A26D4" w:rsidRPr="00A04BCB">
        <w:rPr>
          <w:sz w:val="24"/>
          <w:szCs w:val="24"/>
        </w:rPr>
        <w:t xml:space="preserve"> where it is not possible to resolve the proceedings at the I</w:t>
      </w:r>
      <w:r w:rsidR="00CA75FD">
        <w:rPr>
          <w:sz w:val="24"/>
          <w:szCs w:val="24"/>
        </w:rPr>
        <w:t>ssues Resolution Hearing</w:t>
      </w:r>
      <w:r w:rsidR="007A26D4" w:rsidRPr="00A04BCB">
        <w:rPr>
          <w:sz w:val="24"/>
          <w:szCs w:val="24"/>
        </w:rPr>
        <w:t>.</w:t>
      </w:r>
      <w:r w:rsidR="00415708">
        <w:rPr>
          <w:sz w:val="24"/>
          <w:szCs w:val="24"/>
        </w:rPr>
        <w:t xml:space="preserve"> However due to the current shortage of judges and consequent listing delays each DFJ area will </w:t>
      </w:r>
      <w:r w:rsidR="00BD4B37">
        <w:rPr>
          <w:sz w:val="24"/>
          <w:szCs w:val="24"/>
        </w:rPr>
        <w:t xml:space="preserve">adopt the approach which allows for the quickest listing of a final hearing. In some areas this may be </w:t>
      </w:r>
      <w:r w:rsidR="008A0761">
        <w:rPr>
          <w:sz w:val="24"/>
          <w:szCs w:val="24"/>
        </w:rPr>
        <w:t>by listing cases which don’t settle at IRH for final hearing at that stage (this is more likely to be possible where a final hearing can be undertaken in a matter of weeks). In other areas some cases may be listed for Final Hearing at the CMH</w:t>
      </w:r>
      <w:r w:rsidR="00855F5D">
        <w:rPr>
          <w:sz w:val="24"/>
          <w:szCs w:val="24"/>
        </w:rPr>
        <w:t>; such hearings will not (save in exceptional circumstances) be listed for longer than 3 days</w:t>
      </w:r>
      <w:r w:rsidR="002140F1">
        <w:rPr>
          <w:sz w:val="24"/>
          <w:szCs w:val="24"/>
        </w:rPr>
        <w:t xml:space="preserve">. If such cases do not settle at IRH the time estimate will be reviewed at that stage. </w:t>
      </w:r>
      <w:r w:rsidR="008A0761">
        <w:rPr>
          <w:sz w:val="24"/>
          <w:szCs w:val="24"/>
        </w:rPr>
        <w:t xml:space="preserve"> </w:t>
      </w:r>
    </w:p>
    <w:p w14:paraId="63FE08B5" w14:textId="178C1739" w:rsidR="00D2559D" w:rsidRPr="00A04BCB" w:rsidRDefault="00654F9D" w:rsidP="00250153">
      <w:pPr>
        <w:jc w:val="both"/>
        <w:rPr>
          <w:sz w:val="24"/>
          <w:szCs w:val="24"/>
        </w:rPr>
      </w:pPr>
      <w:r>
        <w:rPr>
          <w:sz w:val="24"/>
          <w:szCs w:val="24"/>
        </w:rPr>
        <w:lastRenderedPageBreak/>
        <w:t>14. This</w:t>
      </w:r>
      <w:r w:rsidR="000F7677">
        <w:rPr>
          <w:sz w:val="24"/>
          <w:szCs w:val="24"/>
        </w:rPr>
        <w:t xml:space="preserve"> reinstated approach will</w:t>
      </w:r>
      <w:proofErr w:type="gramStart"/>
      <w:r w:rsidR="000F7677">
        <w:rPr>
          <w:sz w:val="24"/>
          <w:szCs w:val="24"/>
        </w:rPr>
        <w:t>,</w:t>
      </w:r>
      <w:r>
        <w:rPr>
          <w:sz w:val="24"/>
          <w:szCs w:val="24"/>
        </w:rPr>
        <w:t xml:space="preserve"> </w:t>
      </w:r>
      <w:r w:rsidR="00B9179E">
        <w:rPr>
          <w:sz w:val="24"/>
          <w:szCs w:val="24"/>
        </w:rPr>
        <w:t>in particular</w:t>
      </w:r>
      <w:r w:rsidR="000F7677">
        <w:rPr>
          <w:sz w:val="24"/>
          <w:szCs w:val="24"/>
        </w:rPr>
        <w:t>,</w:t>
      </w:r>
      <w:r w:rsidR="00B9179E">
        <w:rPr>
          <w:sz w:val="24"/>
          <w:szCs w:val="24"/>
        </w:rPr>
        <w:t xml:space="preserve"> </w:t>
      </w:r>
      <w:r>
        <w:rPr>
          <w:sz w:val="24"/>
          <w:szCs w:val="24"/>
        </w:rPr>
        <w:t>require</w:t>
      </w:r>
      <w:proofErr w:type="gramEnd"/>
      <w:r>
        <w:rPr>
          <w:sz w:val="24"/>
          <w:szCs w:val="24"/>
        </w:rPr>
        <w:t xml:space="preserve"> </w:t>
      </w:r>
      <w:r w:rsidR="00B9179E">
        <w:rPr>
          <w:sz w:val="24"/>
          <w:szCs w:val="24"/>
        </w:rPr>
        <w:t xml:space="preserve">a </w:t>
      </w:r>
      <w:r w:rsidR="00B9179E" w:rsidRPr="00C95822">
        <w:rPr>
          <w:i/>
          <w:iCs/>
          <w:sz w:val="24"/>
          <w:szCs w:val="24"/>
        </w:rPr>
        <w:t>far</w:t>
      </w:r>
      <w:r w:rsidR="00B9179E">
        <w:rPr>
          <w:sz w:val="24"/>
          <w:szCs w:val="24"/>
        </w:rPr>
        <w:t xml:space="preserve"> greater focus on planning</w:t>
      </w:r>
      <w:r w:rsidR="00EE2459">
        <w:rPr>
          <w:sz w:val="24"/>
          <w:szCs w:val="24"/>
        </w:rPr>
        <w:t xml:space="preserve"> and preparation</w:t>
      </w:r>
      <w:r w:rsidR="00880C3B">
        <w:rPr>
          <w:sz w:val="24"/>
          <w:szCs w:val="24"/>
        </w:rPr>
        <w:t xml:space="preserve"> </w:t>
      </w:r>
      <w:r w:rsidR="00880C3B" w:rsidRPr="00B9179E">
        <w:rPr>
          <w:i/>
          <w:iCs/>
          <w:sz w:val="24"/>
          <w:szCs w:val="24"/>
        </w:rPr>
        <w:t>ahead of</w:t>
      </w:r>
      <w:r w:rsidR="00880C3B">
        <w:rPr>
          <w:sz w:val="24"/>
          <w:szCs w:val="24"/>
        </w:rPr>
        <w:t xml:space="preserve"> the </w:t>
      </w:r>
      <w:r w:rsidR="00C95822">
        <w:rPr>
          <w:sz w:val="24"/>
          <w:szCs w:val="24"/>
        </w:rPr>
        <w:t>C</w:t>
      </w:r>
      <w:r w:rsidR="00880C3B">
        <w:rPr>
          <w:sz w:val="24"/>
          <w:szCs w:val="24"/>
        </w:rPr>
        <w:t xml:space="preserve">ase </w:t>
      </w:r>
      <w:r w:rsidR="00C95822">
        <w:rPr>
          <w:sz w:val="24"/>
          <w:szCs w:val="24"/>
        </w:rPr>
        <w:t>M</w:t>
      </w:r>
      <w:r w:rsidR="00880C3B">
        <w:rPr>
          <w:sz w:val="24"/>
          <w:szCs w:val="24"/>
        </w:rPr>
        <w:t xml:space="preserve">anagement </w:t>
      </w:r>
      <w:r w:rsidR="00C95822">
        <w:rPr>
          <w:sz w:val="24"/>
          <w:szCs w:val="24"/>
        </w:rPr>
        <w:t>H</w:t>
      </w:r>
      <w:r w:rsidR="00880C3B">
        <w:rPr>
          <w:sz w:val="24"/>
          <w:szCs w:val="24"/>
        </w:rPr>
        <w:t xml:space="preserve">earing and </w:t>
      </w:r>
      <w:r w:rsidR="00C95822">
        <w:rPr>
          <w:sz w:val="24"/>
          <w:szCs w:val="24"/>
        </w:rPr>
        <w:t xml:space="preserve">the </w:t>
      </w:r>
      <w:r>
        <w:rPr>
          <w:sz w:val="24"/>
          <w:szCs w:val="24"/>
        </w:rPr>
        <w:t>effective use of the advocates meeting</w:t>
      </w:r>
      <w:r w:rsidR="00880C3B">
        <w:rPr>
          <w:sz w:val="24"/>
          <w:szCs w:val="24"/>
        </w:rPr>
        <w:t>.</w:t>
      </w:r>
      <w:r>
        <w:rPr>
          <w:sz w:val="24"/>
          <w:szCs w:val="24"/>
        </w:rPr>
        <w:t xml:space="preserve"> </w:t>
      </w:r>
      <w:r w:rsidR="00880C3B">
        <w:rPr>
          <w:sz w:val="24"/>
          <w:szCs w:val="24"/>
        </w:rPr>
        <w:t xml:space="preserve"> It will no longer be acceptable, for example, for the case to be adjourned for a further </w:t>
      </w:r>
      <w:r w:rsidR="00765622">
        <w:rPr>
          <w:sz w:val="24"/>
          <w:szCs w:val="24"/>
        </w:rPr>
        <w:t>C</w:t>
      </w:r>
      <w:r w:rsidR="00880C3B">
        <w:rPr>
          <w:sz w:val="24"/>
          <w:szCs w:val="24"/>
        </w:rPr>
        <w:t xml:space="preserve">ase </w:t>
      </w:r>
      <w:r w:rsidR="00765622">
        <w:rPr>
          <w:sz w:val="24"/>
          <w:szCs w:val="24"/>
        </w:rPr>
        <w:t>M</w:t>
      </w:r>
      <w:r w:rsidR="00880C3B">
        <w:rPr>
          <w:sz w:val="24"/>
          <w:szCs w:val="24"/>
        </w:rPr>
        <w:t xml:space="preserve">anagement </w:t>
      </w:r>
      <w:r w:rsidR="00765622">
        <w:rPr>
          <w:sz w:val="24"/>
          <w:szCs w:val="24"/>
        </w:rPr>
        <w:t>H</w:t>
      </w:r>
      <w:r w:rsidR="00880C3B">
        <w:rPr>
          <w:sz w:val="24"/>
          <w:szCs w:val="24"/>
        </w:rPr>
        <w:t xml:space="preserve">earing because the parties </w:t>
      </w:r>
      <w:r w:rsidR="005D64FA">
        <w:rPr>
          <w:sz w:val="24"/>
          <w:szCs w:val="24"/>
        </w:rPr>
        <w:t xml:space="preserve">seek permission to instruct an expert </w:t>
      </w:r>
      <w:r w:rsidR="00B9179E">
        <w:rPr>
          <w:sz w:val="24"/>
          <w:szCs w:val="24"/>
        </w:rPr>
        <w:t xml:space="preserve">pursuant to FPR Part 25 </w:t>
      </w:r>
      <w:r w:rsidR="005D64FA">
        <w:rPr>
          <w:sz w:val="24"/>
          <w:szCs w:val="24"/>
        </w:rPr>
        <w:t>but have not yet identified the expert to be instructed.</w:t>
      </w:r>
      <w:r w:rsidR="00D2559D">
        <w:rPr>
          <w:sz w:val="24"/>
          <w:szCs w:val="24"/>
        </w:rPr>
        <w:t xml:space="preserve"> </w:t>
      </w:r>
    </w:p>
    <w:p w14:paraId="5889333F" w14:textId="65343F9C" w:rsidR="000B5CD9" w:rsidRPr="00887330" w:rsidRDefault="00652857" w:rsidP="00454D7B">
      <w:pPr>
        <w:jc w:val="both"/>
        <w:rPr>
          <w:b/>
          <w:bCs/>
          <w:sz w:val="28"/>
          <w:szCs w:val="28"/>
        </w:rPr>
      </w:pPr>
      <w:r w:rsidRPr="00887330">
        <w:rPr>
          <w:b/>
          <w:bCs/>
          <w:sz w:val="28"/>
          <w:szCs w:val="28"/>
        </w:rPr>
        <w:t>Stopping</w:t>
      </w:r>
      <w:r w:rsidR="000B5CD9" w:rsidRPr="00887330">
        <w:rPr>
          <w:b/>
          <w:bCs/>
          <w:sz w:val="28"/>
          <w:szCs w:val="28"/>
        </w:rPr>
        <w:t xml:space="preserve"> the “Start Again” </w:t>
      </w:r>
      <w:r w:rsidR="007D1D92" w:rsidRPr="00887330">
        <w:rPr>
          <w:b/>
          <w:bCs/>
          <w:sz w:val="28"/>
          <w:szCs w:val="28"/>
        </w:rPr>
        <w:t>c</w:t>
      </w:r>
      <w:r w:rsidR="000B5CD9" w:rsidRPr="00887330">
        <w:rPr>
          <w:b/>
          <w:bCs/>
          <w:sz w:val="28"/>
          <w:szCs w:val="28"/>
        </w:rPr>
        <w:t>ulture</w:t>
      </w:r>
    </w:p>
    <w:p w14:paraId="0C3BDBCB" w14:textId="015AC222" w:rsidR="00EE022D" w:rsidRPr="00A04BCB" w:rsidRDefault="003B2B3C" w:rsidP="00454D7B">
      <w:pPr>
        <w:jc w:val="both"/>
        <w:rPr>
          <w:sz w:val="24"/>
          <w:szCs w:val="24"/>
        </w:rPr>
      </w:pPr>
      <w:r>
        <w:rPr>
          <w:sz w:val="24"/>
          <w:szCs w:val="24"/>
        </w:rPr>
        <w:t>1</w:t>
      </w:r>
      <w:r w:rsidR="00905F80">
        <w:rPr>
          <w:sz w:val="24"/>
          <w:szCs w:val="24"/>
        </w:rPr>
        <w:t>5</w:t>
      </w:r>
      <w:r>
        <w:rPr>
          <w:sz w:val="24"/>
          <w:szCs w:val="24"/>
        </w:rPr>
        <w:t xml:space="preserve">. </w:t>
      </w:r>
      <w:r w:rsidR="000D6B92" w:rsidRPr="00A04BCB">
        <w:rPr>
          <w:sz w:val="24"/>
          <w:szCs w:val="24"/>
        </w:rPr>
        <w:t>Adherence to the</w:t>
      </w:r>
      <w:r w:rsidR="00EE022D" w:rsidRPr="00A04BCB">
        <w:rPr>
          <w:sz w:val="24"/>
          <w:szCs w:val="24"/>
        </w:rPr>
        <w:t xml:space="preserve"> PLO </w:t>
      </w:r>
      <w:r w:rsidR="00320B7D">
        <w:rPr>
          <w:sz w:val="24"/>
          <w:szCs w:val="24"/>
        </w:rPr>
        <w:t>p</w:t>
      </w:r>
      <w:r w:rsidR="00EE022D" w:rsidRPr="00A04BCB">
        <w:rPr>
          <w:sz w:val="24"/>
          <w:szCs w:val="24"/>
        </w:rPr>
        <w:t>re-proceedings process, with the engagement of parents and a thorough assessment exercise following the DfE Guidance</w:t>
      </w:r>
      <w:r w:rsidR="000D6B92" w:rsidRPr="00A04BCB">
        <w:rPr>
          <w:sz w:val="24"/>
          <w:szCs w:val="24"/>
        </w:rPr>
        <w:t xml:space="preserve"> </w:t>
      </w:r>
      <w:r w:rsidR="00EE022D" w:rsidRPr="00A04BCB">
        <w:rPr>
          <w:sz w:val="24"/>
          <w:szCs w:val="24"/>
        </w:rPr>
        <w:t>and the P</w:t>
      </w:r>
      <w:r w:rsidR="00B00E33">
        <w:rPr>
          <w:sz w:val="24"/>
          <w:szCs w:val="24"/>
        </w:rPr>
        <w:t xml:space="preserve">ublic Law </w:t>
      </w:r>
      <w:r w:rsidR="00EE022D" w:rsidRPr="00A04BCB">
        <w:rPr>
          <w:sz w:val="24"/>
          <w:szCs w:val="24"/>
        </w:rPr>
        <w:t>W</w:t>
      </w:r>
      <w:r w:rsidR="00B00E33">
        <w:rPr>
          <w:sz w:val="24"/>
          <w:szCs w:val="24"/>
        </w:rPr>
        <w:t xml:space="preserve">orking </w:t>
      </w:r>
      <w:r w:rsidR="00EE022D" w:rsidRPr="00A04BCB">
        <w:rPr>
          <w:sz w:val="24"/>
          <w:szCs w:val="24"/>
        </w:rPr>
        <w:t>G</w:t>
      </w:r>
      <w:r w:rsidR="00B00E33">
        <w:rPr>
          <w:sz w:val="24"/>
          <w:szCs w:val="24"/>
        </w:rPr>
        <w:t>roup</w:t>
      </w:r>
      <w:r w:rsidR="00EE022D" w:rsidRPr="00A04BCB">
        <w:rPr>
          <w:sz w:val="24"/>
          <w:szCs w:val="24"/>
        </w:rPr>
        <w:t xml:space="preserve"> recommendations, is </w:t>
      </w:r>
      <w:r w:rsidR="000D6B92" w:rsidRPr="00A04BCB">
        <w:rPr>
          <w:sz w:val="24"/>
          <w:szCs w:val="24"/>
        </w:rPr>
        <w:t>essential.</w:t>
      </w:r>
    </w:p>
    <w:p w14:paraId="7E4B0D2C" w14:textId="3C4240F6" w:rsidR="009B49AE" w:rsidRPr="00A04BCB" w:rsidRDefault="003B2B3C" w:rsidP="00454D7B">
      <w:pPr>
        <w:jc w:val="both"/>
        <w:rPr>
          <w:sz w:val="24"/>
          <w:szCs w:val="24"/>
        </w:rPr>
      </w:pPr>
      <w:r>
        <w:rPr>
          <w:sz w:val="24"/>
          <w:szCs w:val="24"/>
        </w:rPr>
        <w:t>1</w:t>
      </w:r>
      <w:r w:rsidR="00905F80">
        <w:rPr>
          <w:sz w:val="24"/>
          <w:szCs w:val="24"/>
        </w:rPr>
        <w:t>6</w:t>
      </w:r>
      <w:r>
        <w:rPr>
          <w:sz w:val="24"/>
          <w:szCs w:val="24"/>
        </w:rPr>
        <w:t xml:space="preserve">. </w:t>
      </w:r>
      <w:r w:rsidR="000B5CD9" w:rsidRPr="00A04BCB">
        <w:rPr>
          <w:sz w:val="24"/>
          <w:szCs w:val="24"/>
        </w:rPr>
        <w:t xml:space="preserve">Where the court considers that the assessment completed </w:t>
      </w:r>
      <w:r w:rsidR="00320B7D">
        <w:rPr>
          <w:sz w:val="24"/>
          <w:szCs w:val="24"/>
        </w:rPr>
        <w:t xml:space="preserve">by the local authority </w:t>
      </w:r>
      <w:r w:rsidR="000B5CD9" w:rsidRPr="00A04BCB">
        <w:rPr>
          <w:sz w:val="24"/>
          <w:szCs w:val="24"/>
        </w:rPr>
        <w:t xml:space="preserve">during the pre-proceedings stage is </w:t>
      </w:r>
      <w:r w:rsidR="00DE4A4D" w:rsidRPr="00A04BCB">
        <w:rPr>
          <w:sz w:val="24"/>
          <w:szCs w:val="24"/>
        </w:rPr>
        <w:t xml:space="preserve">sufficient to determine the issues before the court justly, it will not order a further assessment to be undertaken within proceedings unless it can be demonstrated that such an assessment is </w:t>
      </w:r>
      <w:r w:rsidR="00DE4A4D" w:rsidRPr="001F2625">
        <w:rPr>
          <w:i/>
          <w:iCs/>
          <w:sz w:val="24"/>
          <w:szCs w:val="24"/>
        </w:rPr>
        <w:t>necessary</w:t>
      </w:r>
      <w:r w:rsidR="00DE4A4D" w:rsidRPr="00A04BCB">
        <w:rPr>
          <w:sz w:val="24"/>
          <w:szCs w:val="24"/>
        </w:rPr>
        <w:t>.</w:t>
      </w:r>
    </w:p>
    <w:p w14:paraId="416EF938" w14:textId="5ADC68B6" w:rsidR="00FE792E" w:rsidRPr="00A04BCB" w:rsidRDefault="003B2B3C" w:rsidP="00454D7B">
      <w:pPr>
        <w:jc w:val="both"/>
        <w:rPr>
          <w:sz w:val="24"/>
          <w:szCs w:val="24"/>
        </w:rPr>
      </w:pPr>
      <w:r>
        <w:rPr>
          <w:sz w:val="24"/>
          <w:szCs w:val="24"/>
        </w:rPr>
        <w:t>1</w:t>
      </w:r>
      <w:r w:rsidR="00905F80">
        <w:rPr>
          <w:sz w:val="24"/>
          <w:szCs w:val="24"/>
        </w:rPr>
        <w:t>7</w:t>
      </w:r>
      <w:r>
        <w:rPr>
          <w:sz w:val="24"/>
          <w:szCs w:val="24"/>
        </w:rPr>
        <w:t xml:space="preserve">. </w:t>
      </w:r>
      <w:r w:rsidR="00FE792E" w:rsidRPr="00A04BCB">
        <w:rPr>
          <w:sz w:val="24"/>
          <w:szCs w:val="24"/>
        </w:rPr>
        <w:t xml:space="preserve">With respect to assessments of friends and family, </w:t>
      </w:r>
      <w:r w:rsidR="001F2625">
        <w:rPr>
          <w:sz w:val="24"/>
          <w:szCs w:val="24"/>
        </w:rPr>
        <w:t xml:space="preserve">the </w:t>
      </w:r>
      <w:r w:rsidR="00FE792E" w:rsidRPr="00A04BCB">
        <w:rPr>
          <w:sz w:val="24"/>
          <w:szCs w:val="24"/>
        </w:rPr>
        <w:t xml:space="preserve">parents </w:t>
      </w:r>
      <w:r w:rsidR="001F2625">
        <w:rPr>
          <w:sz w:val="24"/>
          <w:szCs w:val="24"/>
        </w:rPr>
        <w:t>will</w:t>
      </w:r>
      <w:r w:rsidR="00FE792E" w:rsidRPr="00A04BCB">
        <w:rPr>
          <w:sz w:val="24"/>
          <w:szCs w:val="24"/>
        </w:rPr>
        <w:t xml:space="preserve"> be expressly required to identify any family members for assessment at</w:t>
      </w:r>
      <w:r w:rsidR="00451BCE">
        <w:rPr>
          <w:sz w:val="24"/>
          <w:szCs w:val="24"/>
        </w:rPr>
        <w:t xml:space="preserve"> </w:t>
      </w:r>
      <w:r w:rsidR="00FE792E" w:rsidRPr="00A04BCB">
        <w:rPr>
          <w:sz w:val="24"/>
          <w:szCs w:val="24"/>
        </w:rPr>
        <w:t>the Case Management Hearing</w:t>
      </w:r>
      <w:r w:rsidR="006D364D">
        <w:rPr>
          <w:sz w:val="24"/>
          <w:szCs w:val="24"/>
        </w:rPr>
        <w:t xml:space="preserve"> within their Response document</w:t>
      </w:r>
      <w:r w:rsidR="00FE792E" w:rsidRPr="00A04BCB">
        <w:rPr>
          <w:sz w:val="24"/>
          <w:szCs w:val="24"/>
        </w:rPr>
        <w:t>.</w:t>
      </w:r>
      <w:r w:rsidR="001F3062" w:rsidRPr="00A04BCB">
        <w:rPr>
          <w:sz w:val="24"/>
          <w:szCs w:val="24"/>
        </w:rPr>
        <w:t xml:space="preserve">  Each DFJ will agree with their local authorities a clear timeline that will apply to any ‘viability’ or full assessments of connected persons and that timeline will be adhered to.</w:t>
      </w:r>
    </w:p>
    <w:p w14:paraId="2D7C0874" w14:textId="56164C84" w:rsidR="00FA68B8" w:rsidRPr="00887330" w:rsidRDefault="00FA68B8" w:rsidP="00454D7B">
      <w:pPr>
        <w:jc w:val="both"/>
        <w:rPr>
          <w:b/>
          <w:bCs/>
          <w:sz w:val="28"/>
          <w:szCs w:val="28"/>
        </w:rPr>
      </w:pPr>
      <w:r w:rsidRPr="00887330">
        <w:rPr>
          <w:b/>
          <w:bCs/>
          <w:sz w:val="28"/>
          <w:szCs w:val="28"/>
        </w:rPr>
        <w:t xml:space="preserve">Limiting </w:t>
      </w:r>
      <w:r w:rsidR="007D1D92" w:rsidRPr="00887330">
        <w:rPr>
          <w:b/>
          <w:bCs/>
          <w:sz w:val="28"/>
          <w:szCs w:val="28"/>
        </w:rPr>
        <w:t>e</w:t>
      </w:r>
      <w:r w:rsidRPr="00887330">
        <w:rPr>
          <w:b/>
          <w:bCs/>
          <w:sz w:val="28"/>
          <w:szCs w:val="28"/>
        </w:rPr>
        <w:t xml:space="preserve">xpert </w:t>
      </w:r>
      <w:r w:rsidR="007D1D92" w:rsidRPr="00887330">
        <w:rPr>
          <w:b/>
          <w:bCs/>
          <w:sz w:val="28"/>
          <w:szCs w:val="28"/>
        </w:rPr>
        <w:t>e</w:t>
      </w:r>
      <w:r w:rsidRPr="00887330">
        <w:rPr>
          <w:b/>
          <w:bCs/>
          <w:sz w:val="28"/>
          <w:szCs w:val="28"/>
        </w:rPr>
        <w:t>vidence</w:t>
      </w:r>
    </w:p>
    <w:p w14:paraId="6EBAE409" w14:textId="1DB5A7D9" w:rsidR="00F36835" w:rsidRPr="00A04BCB" w:rsidRDefault="003B2B3C" w:rsidP="00454D7B">
      <w:pPr>
        <w:jc w:val="both"/>
        <w:rPr>
          <w:sz w:val="24"/>
          <w:szCs w:val="24"/>
        </w:rPr>
      </w:pPr>
      <w:r>
        <w:rPr>
          <w:sz w:val="24"/>
          <w:szCs w:val="24"/>
        </w:rPr>
        <w:t>1</w:t>
      </w:r>
      <w:r w:rsidR="00905F80">
        <w:rPr>
          <w:sz w:val="24"/>
          <w:szCs w:val="24"/>
        </w:rPr>
        <w:t>8</w:t>
      </w:r>
      <w:r>
        <w:rPr>
          <w:sz w:val="24"/>
          <w:szCs w:val="24"/>
        </w:rPr>
        <w:t xml:space="preserve">. </w:t>
      </w:r>
      <w:r w:rsidR="00FA68B8" w:rsidRPr="00A04BCB">
        <w:rPr>
          <w:sz w:val="24"/>
          <w:szCs w:val="24"/>
        </w:rPr>
        <w:t>The test for whether the court requires expert evidence to determine proceedings</w:t>
      </w:r>
      <w:r w:rsidR="00BC624E">
        <w:rPr>
          <w:sz w:val="24"/>
          <w:szCs w:val="24"/>
        </w:rPr>
        <w:t xml:space="preserve"> is</w:t>
      </w:r>
      <w:r w:rsidR="00FA68B8" w:rsidRPr="00A04BCB">
        <w:rPr>
          <w:sz w:val="24"/>
          <w:szCs w:val="24"/>
        </w:rPr>
        <w:t xml:space="preserve"> </w:t>
      </w:r>
      <w:r w:rsidR="00F36835" w:rsidRPr="00A04BCB">
        <w:rPr>
          <w:sz w:val="24"/>
          <w:szCs w:val="24"/>
        </w:rPr>
        <w:t xml:space="preserve">clear and well established.  </w:t>
      </w:r>
    </w:p>
    <w:p w14:paraId="53F7E968" w14:textId="5CF4ED6C" w:rsidR="00887330" w:rsidRPr="00A04BCB" w:rsidRDefault="003B2B3C" w:rsidP="00454D7B">
      <w:pPr>
        <w:jc w:val="both"/>
        <w:rPr>
          <w:sz w:val="24"/>
          <w:szCs w:val="24"/>
        </w:rPr>
      </w:pPr>
      <w:r>
        <w:rPr>
          <w:sz w:val="24"/>
          <w:szCs w:val="24"/>
        </w:rPr>
        <w:t>1</w:t>
      </w:r>
      <w:r w:rsidR="00905F80">
        <w:rPr>
          <w:sz w:val="24"/>
          <w:szCs w:val="24"/>
        </w:rPr>
        <w:t>9</w:t>
      </w:r>
      <w:r>
        <w:rPr>
          <w:sz w:val="24"/>
          <w:szCs w:val="24"/>
        </w:rPr>
        <w:t xml:space="preserve">. </w:t>
      </w:r>
      <w:r w:rsidR="00F36835" w:rsidRPr="00A04BCB">
        <w:rPr>
          <w:sz w:val="24"/>
          <w:szCs w:val="24"/>
        </w:rPr>
        <w:t xml:space="preserve">In the circumstances, the court will only permit the instruction of an expert where it is </w:t>
      </w:r>
      <w:r w:rsidR="00F36835" w:rsidRPr="00A04BCB">
        <w:rPr>
          <w:i/>
          <w:iCs/>
          <w:sz w:val="24"/>
          <w:szCs w:val="24"/>
        </w:rPr>
        <w:t>demonstrated</w:t>
      </w:r>
      <w:r w:rsidR="00F36835" w:rsidRPr="00A04BCB">
        <w:rPr>
          <w:sz w:val="24"/>
          <w:szCs w:val="24"/>
        </w:rPr>
        <w:t xml:space="preserve"> to the court that to do so is ‘</w:t>
      </w:r>
      <w:r w:rsidR="00F36835" w:rsidRPr="004726BF">
        <w:rPr>
          <w:i/>
          <w:iCs/>
          <w:sz w:val="24"/>
          <w:szCs w:val="24"/>
        </w:rPr>
        <w:t xml:space="preserve">necessary </w:t>
      </w:r>
      <w:r w:rsidR="00F36835" w:rsidRPr="00A04BCB">
        <w:rPr>
          <w:sz w:val="24"/>
          <w:szCs w:val="24"/>
        </w:rPr>
        <w:t>to assist the court to resolve the proceedings justly’ and not simply that it is merely desirable or helpful.</w:t>
      </w:r>
    </w:p>
    <w:p w14:paraId="0AD0E0C3" w14:textId="4B6A6685" w:rsidR="0008250B" w:rsidRPr="00887330" w:rsidRDefault="0008250B" w:rsidP="00454D7B">
      <w:pPr>
        <w:jc w:val="both"/>
        <w:rPr>
          <w:b/>
          <w:bCs/>
          <w:sz w:val="28"/>
          <w:szCs w:val="28"/>
        </w:rPr>
      </w:pPr>
      <w:r w:rsidRPr="00887330">
        <w:rPr>
          <w:b/>
          <w:bCs/>
          <w:sz w:val="28"/>
          <w:szCs w:val="28"/>
        </w:rPr>
        <w:t>Limiting</w:t>
      </w:r>
      <w:r w:rsidR="00052AD5" w:rsidRPr="00887330">
        <w:rPr>
          <w:b/>
          <w:bCs/>
          <w:sz w:val="28"/>
          <w:szCs w:val="28"/>
        </w:rPr>
        <w:t xml:space="preserve"> </w:t>
      </w:r>
      <w:r w:rsidR="007D1D92" w:rsidRPr="00887330">
        <w:rPr>
          <w:b/>
          <w:bCs/>
          <w:sz w:val="28"/>
          <w:szCs w:val="28"/>
        </w:rPr>
        <w:t>p</w:t>
      </w:r>
      <w:r w:rsidR="00052AD5" w:rsidRPr="00887330">
        <w:rPr>
          <w:b/>
          <w:bCs/>
          <w:sz w:val="28"/>
          <w:szCs w:val="28"/>
        </w:rPr>
        <w:t>roceedings</w:t>
      </w:r>
      <w:r w:rsidR="0075355E" w:rsidRPr="00887330">
        <w:rPr>
          <w:b/>
          <w:bCs/>
          <w:sz w:val="28"/>
          <w:szCs w:val="28"/>
        </w:rPr>
        <w:t xml:space="preserve"> to </w:t>
      </w:r>
      <w:r w:rsidR="007D1D92" w:rsidRPr="00887330">
        <w:rPr>
          <w:b/>
          <w:bCs/>
          <w:sz w:val="28"/>
          <w:szCs w:val="28"/>
        </w:rPr>
        <w:t>t</w:t>
      </w:r>
      <w:r w:rsidR="0075355E" w:rsidRPr="00887330">
        <w:rPr>
          <w:b/>
          <w:bCs/>
          <w:sz w:val="28"/>
          <w:szCs w:val="28"/>
        </w:rPr>
        <w:t xml:space="preserve">heir </w:t>
      </w:r>
      <w:r w:rsidR="007D1D92" w:rsidRPr="00887330">
        <w:rPr>
          <w:b/>
          <w:bCs/>
          <w:sz w:val="28"/>
          <w:szCs w:val="28"/>
        </w:rPr>
        <w:t>p</w:t>
      </w:r>
      <w:r w:rsidR="007A26D4" w:rsidRPr="00887330">
        <w:rPr>
          <w:b/>
          <w:bCs/>
          <w:sz w:val="28"/>
          <w:szCs w:val="28"/>
        </w:rPr>
        <w:t xml:space="preserve">roper </w:t>
      </w:r>
      <w:r w:rsidR="007D1D92" w:rsidRPr="00887330">
        <w:rPr>
          <w:b/>
          <w:bCs/>
          <w:sz w:val="28"/>
          <w:szCs w:val="28"/>
        </w:rPr>
        <w:t>s</w:t>
      </w:r>
      <w:r w:rsidR="0075355E" w:rsidRPr="00887330">
        <w:rPr>
          <w:b/>
          <w:bCs/>
          <w:sz w:val="28"/>
          <w:szCs w:val="28"/>
        </w:rPr>
        <w:t xml:space="preserve">tatutory </w:t>
      </w:r>
      <w:r w:rsidR="007D1D92" w:rsidRPr="00887330">
        <w:rPr>
          <w:b/>
          <w:bCs/>
          <w:sz w:val="28"/>
          <w:szCs w:val="28"/>
        </w:rPr>
        <w:t>s</w:t>
      </w:r>
      <w:r w:rsidR="0075355E" w:rsidRPr="00887330">
        <w:rPr>
          <w:b/>
          <w:bCs/>
          <w:sz w:val="28"/>
          <w:szCs w:val="28"/>
        </w:rPr>
        <w:t>cope</w:t>
      </w:r>
    </w:p>
    <w:p w14:paraId="12B38223" w14:textId="1EB63287" w:rsidR="009E3CD2" w:rsidRDefault="00905F80" w:rsidP="00052AD5">
      <w:pPr>
        <w:jc w:val="both"/>
        <w:rPr>
          <w:sz w:val="24"/>
          <w:szCs w:val="24"/>
        </w:rPr>
      </w:pPr>
      <w:r>
        <w:rPr>
          <w:sz w:val="24"/>
          <w:szCs w:val="24"/>
        </w:rPr>
        <w:t>20</w:t>
      </w:r>
      <w:r w:rsidR="003B2B3C">
        <w:rPr>
          <w:sz w:val="24"/>
          <w:szCs w:val="24"/>
        </w:rPr>
        <w:t xml:space="preserve">. </w:t>
      </w:r>
      <w:proofErr w:type="gramStart"/>
      <w:r w:rsidR="00CF58FB">
        <w:rPr>
          <w:sz w:val="24"/>
          <w:szCs w:val="24"/>
        </w:rPr>
        <w:t>In order to</w:t>
      </w:r>
      <w:proofErr w:type="gramEnd"/>
      <w:r w:rsidR="004C6727" w:rsidRPr="00A04BCB">
        <w:rPr>
          <w:sz w:val="24"/>
          <w:szCs w:val="24"/>
        </w:rPr>
        <w:t xml:space="preserve"> determine the care proceedings</w:t>
      </w:r>
      <w:r w:rsidR="00CF58FB">
        <w:rPr>
          <w:sz w:val="24"/>
          <w:szCs w:val="24"/>
        </w:rPr>
        <w:t>,</w:t>
      </w:r>
      <w:r w:rsidR="004C6727" w:rsidRPr="00A04BCB">
        <w:rPr>
          <w:sz w:val="24"/>
          <w:szCs w:val="24"/>
        </w:rPr>
        <w:t xml:space="preserve"> the court will limit its consideration</w:t>
      </w:r>
      <w:r w:rsidR="00052AD5" w:rsidRPr="00A04BCB">
        <w:rPr>
          <w:sz w:val="24"/>
          <w:szCs w:val="24"/>
        </w:rPr>
        <w:t xml:space="preserve"> to</w:t>
      </w:r>
      <w:r w:rsidR="009E3CD2">
        <w:rPr>
          <w:sz w:val="24"/>
          <w:szCs w:val="24"/>
        </w:rPr>
        <w:t xml:space="preserve"> the following issues:</w:t>
      </w:r>
      <w:r w:rsidR="00052AD5" w:rsidRPr="00A04BCB">
        <w:rPr>
          <w:sz w:val="24"/>
          <w:szCs w:val="24"/>
        </w:rPr>
        <w:t xml:space="preserve"> </w:t>
      </w:r>
    </w:p>
    <w:p w14:paraId="50DA29AB" w14:textId="300861E8" w:rsidR="009E3CD2" w:rsidRDefault="00052AD5" w:rsidP="00052AD5">
      <w:pPr>
        <w:jc w:val="both"/>
        <w:rPr>
          <w:sz w:val="24"/>
          <w:szCs w:val="24"/>
        </w:rPr>
      </w:pPr>
      <w:r w:rsidRPr="00A04BCB">
        <w:rPr>
          <w:sz w:val="24"/>
          <w:szCs w:val="24"/>
        </w:rPr>
        <w:t>(a)</w:t>
      </w:r>
      <w:r w:rsidR="009E3CD2">
        <w:rPr>
          <w:sz w:val="24"/>
          <w:szCs w:val="24"/>
        </w:rPr>
        <w:tab/>
      </w:r>
      <w:r w:rsidRPr="00A04BCB">
        <w:rPr>
          <w:sz w:val="24"/>
          <w:szCs w:val="24"/>
        </w:rPr>
        <w:t xml:space="preserve">whether the s 31 threshold criteria </w:t>
      </w:r>
      <w:r w:rsidR="006D06F5" w:rsidRPr="00A04BCB">
        <w:rPr>
          <w:sz w:val="24"/>
          <w:szCs w:val="24"/>
        </w:rPr>
        <w:t xml:space="preserve">are </w:t>
      </w:r>
      <w:proofErr w:type="gramStart"/>
      <w:r w:rsidRPr="00A04BCB">
        <w:rPr>
          <w:sz w:val="24"/>
          <w:szCs w:val="24"/>
        </w:rPr>
        <w:t>satisfied</w:t>
      </w:r>
      <w:r w:rsidR="009E3CD2">
        <w:rPr>
          <w:sz w:val="24"/>
          <w:szCs w:val="24"/>
        </w:rPr>
        <w:t>;</w:t>
      </w:r>
      <w:proofErr w:type="gramEnd"/>
    </w:p>
    <w:p w14:paraId="5012BC27" w14:textId="51312F60" w:rsidR="009E3CD2" w:rsidRDefault="004D2C0F" w:rsidP="00052AD5">
      <w:pPr>
        <w:jc w:val="both"/>
        <w:rPr>
          <w:sz w:val="24"/>
          <w:szCs w:val="24"/>
        </w:rPr>
      </w:pPr>
      <w:r w:rsidRPr="00A04BCB">
        <w:rPr>
          <w:sz w:val="24"/>
          <w:szCs w:val="24"/>
        </w:rPr>
        <w:t>(b)</w:t>
      </w:r>
      <w:r w:rsidR="009E3CD2">
        <w:rPr>
          <w:sz w:val="24"/>
          <w:szCs w:val="24"/>
        </w:rPr>
        <w:tab/>
      </w:r>
      <w:r w:rsidRPr="00A04BCB">
        <w:rPr>
          <w:sz w:val="24"/>
          <w:szCs w:val="24"/>
        </w:rPr>
        <w:t xml:space="preserve">if so, </w:t>
      </w:r>
      <w:r w:rsidR="00642E43">
        <w:rPr>
          <w:sz w:val="24"/>
          <w:szCs w:val="24"/>
        </w:rPr>
        <w:t xml:space="preserve">consideration of </w:t>
      </w:r>
      <w:r w:rsidRPr="00A04BCB">
        <w:rPr>
          <w:sz w:val="24"/>
          <w:szCs w:val="24"/>
        </w:rPr>
        <w:t xml:space="preserve">the nature of the permanence provisions in the care </w:t>
      </w:r>
      <w:proofErr w:type="gramStart"/>
      <w:r w:rsidRPr="00A04BCB">
        <w:rPr>
          <w:sz w:val="24"/>
          <w:szCs w:val="24"/>
        </w:rPr>
        <w:t>plan</w:t>
      </w:r>
      <w:r w:rsidR="009E3CD2">
        <w:rPr>
          <w:sz w:val="24"/>
          <w:szCs w:val="24"/>
        </w:rPr>
        <w:t>;</w:t>
      </w:r>
      <w:proofErr w:type="gramEnd"/>
      <w:r w:rsidRPr="00A04BCB">
        <w:rPr>
          <w:sz w:val="24"/>
          <w:szCs w:val="24"/>
        </w:rPr>
        <w:t xml:space="preserve"> </w:t>
      </w:r>
    </w:p>
    <w:p w14:paraId="2E2D0B41" w14:textId="1E4BDC68" w:rsidR="009E3CD2" w:rsidRDefault="004D2C0F" w:rsidP="00052AD5">
      <w:pPr>
        <w:jc w:val="both"/>
        <w:rPr>
          <w:sz w:val="24"/>
          <w:szCs w:val="24"/>
        </w:rPr>
      </w:pPr>
      <w:r w:rsidRPr="00A04BCB">
        <w:rPr>
          <w:sz w:val="24"/>
          <w:szCs w:val="24"/>
        </w:rPr>
        <w:t>(c)</w:t>
      </w:r>
      <w:r w:rsidR="009E3CD2">
        <w:rPr>
          <w:sz w:val="24"/>
          <w:szCs w:val="24"/>
        </w:rPr>
        <w:tab/>
      </w:r>
      <w:r w:rsidRPr="00A04BCB">
        <w:rPr>
          <w:sz w:val="24"/>
          <w:szCs w:val="24"/>
        </w:rPr>
        <w:t>the arrangements for contact</w:t>
      </w:r>
      <w:r w:rsidR="009E3CD2">
        <w:rPr>
          <w:sz w:val="24"/>
          <w:szCs w:val="24"/>
        </w:rPr>
        <w:t>;</w:t>
      </w:r>
      <w:r w:rsidRPr="00A04BCB">
        <w:rPr>
          <w:sz w:val="24"/>
          <w:szCs w:val="24"/>
        </w:rPr>
        <w:t xml:space="preserve"> and </w:t>
      </w:r>
    </w:p>
    <w:p w14:paraId="3D79AB7B" w14:textId="181A8089" w:rsidR="00052AD5" w:rsidRPr="00A04BCB" w:rsidRDefault="004D2C0F" w:rsidP="00052AD5">
      <w:pPr>
        <w:jc w:val="both"/>
        <w:rPr>
          <w:sz w:val="24"/>
          <w:szCs w:val="24"/>
        </w:rPr>
      </w:pPr>
      <w:r w:rsidRPr="00A04BCB">
        <w:rPr>
          <w:sz w:val="24"/>
          <w:szCs w:val="24"/>
        </w:rPr>
        <w:t>(</w:t>
      </w:r>
      <w:r w:rsidR="0041294F" w:rsidRPr="00A04BCB">
        <w:rPr>
          <w:sz w:val="24"/>
          <w:szCs w:val="24"/>
        </w:rPr>
        <w:t>d)</w:t>
      </w:r>
      <w:r w:rsidR="009E3CD2">
        <w:rPr>
          <w:sz w:val="24"/>
          <w:szCs w:val="24"/>
        </w:rPr>
        <w:tab/>
      </w:r>
      <w:r w:rsidR="0041294F" w:rsidRPr="00A04BCB">
        <w:rPr>
          <w:sz w:val="24"/>
          <w:szCs w:val="24"/>
        </w:rPr>
        <w:t>what</w:t>
      </w:r>
      <w:r w:rsidR="006D0753">
        <w:rPr>
          <w:sz w:val="24"/>
          <w:szCs w:val="24"/>
        </w:rPr>
        <w:t xml:space="preserve"> order</w:t>
      </w:r>
      <w:r w:rsidR="0041294F" w:rsidRPr="00A04BCB">
        <w:rPr>
          <w:sz w:val="24"/>
          <w:szCs w:val="24"/>
        </w:rPr>
        <w:t xml:space="preserve">, having </w:t>
      </w:r>
      <w:proofErr w:type="gramStart"/>
      <w:r w:rsidR="0041294F" w:rsidRPr="00A04BCB">
        <w:rPr>
          <w:sz w:val="24"/>
          <w:szCs w:val="24"/>
        </w:rPr>
        <w:t>regarding</w:t>
      </w:r>
      <w:proofErr w:type="gramEnd"/>
      <w:r w:rsidR="0041294F" w:rsidRPr="00A04BCB">
        <w:rPr>
          <w:sz w:val="24"/>
          <w:szCs w:val="24"/>
        </w:rPr>
        <w:t xml:space="preserve"> to </w:t>
      </w:r>
      <w:r w:rsidR="008C1837">
        <w:rPr>
          <w:sz w:val="24"/>
          <w:szCs w:val="24"/>
        </w:rPr>
        <w:t>s.1 of the Children Act 1989</w:t>
      </w:r>
      <w:r w:rsidR="0041294F" w:rsidRPr="00A04BCB">
        <w:rPr>
          <w:sz w:val="24"/>
          <w:szCs w:val="24"/>
        </w:rPr>
        <w:t xml:space="preserve">, </w:t>
      </w:r>
      <w:r w:rsidR="00EF16C7" w:rsidRPr="00A04BCB">
        <w:rPr>
          <w:sz w:val="24"/>
          <w:szCs w:val="24"/>
        </w:rPr>
        <w:t>should be made.</w:t>
      </w:r>
    </w:p>
    <w:p w14:paraId="011E0B34" w14:textId="0D480030" w:rsidR="00EF16C7" w:rsidRPr="00A04BCB" w:rsidRDefault="003B2B3C" w:rsidP="00454D7B">
      <w:pPr>
        <w:jc w:val="both"/>
        <w:rPr>
          <w:sz w:val="24"/>
          <w:szCs w:val="24"/>
        </w:rPr>
      </w:pPr>
      <w:r>
        <w:rPr>
          <w:sz w:val="24"/>
          <w:szCs w:val="24"/>
        </w:rPr>
        <w:t>2</w:t>
      </w:r>
      <w:r w:rsidR="00905F80">
        <w:rPr>
          <w:sz w:val="24"/>
          <w:szCs w:val="24"/>
        </w:rPr>
        <w:t>1</w:t>
      </w:r>
      <w:r>
        <w:rPr>
          <w:sz w:val="24"/>
          <w:szCs w:val="24"/>
        </w:rPr>
        <w:t xml:space="preserve">. </w:t>
      </w:r>
      <w:r w:rsidR="006D0753">
        <w:rPr>
          <w:sz w:val="24"/>
          <w:szCs w:val="24"/>
        </w:rPr>
        <w:t>The</w:t>
      </w:r>
      <w:r w:rsidR="00EF16C7" w:rsidRPr="00A04BCB">
        <w:rPr>
          <w:sz w:val="24"/>
          <w:szCs w:val="24"/>
        </w:rPr>
        <w:t xml:space="preserve"> court is not required to consider any aspect of the care plan other than the permanence provisions.  In the circumstances, the court will </w:t>
      </w:r>
      <w:r w:rsidR="00EF16C7" w:rsidRPr="00C45D1E">
        <w:rPr>
          <w:i/>
          <w:iCs/>
          <w:sz w:val="24"/>
          <w:szCs w:val="24"/>
        </w:rPr>
        <w:t>not</w:t>
      </w:r>
      <w:r w:rsidR="00EF16C7" w:rsidRPr="00A04BCB">
        <w:rPr>
          <w:sz w:val="24"/>
          <w:szCs w:val="24"/>
        </w:rPr>
        <w:t xml:space="preserve"> consider aspects of the care plan beyond</w:t>
      </w:r>
      <w:r w:rsidR="006D0753">
        <w:rPr>
          <w:sz w:val="24"/>
          <w:szCs w:val="24"/>
        </w:rPr>
        <w:t xml:space="preserve"> </w:t>
      </w:r>
      <w:r w:rsidR="00EB2757">
        <w:rPr>
          <w:sz w:val="24"/>
          <w:szCs w:val="24"/>
        </w:rPr>
        <w:t xml:space="preserve">those </w:t>
      </w:r>
      <w:r w:rsidR="00EF16C7" w:rsidRPr="00A04BCB">
        <w:rPr>
          <w:sz w:val="24"/>
          <w:szCs w:val="24"/>
        </w:rPr>
        <w:t>provisions</w:t>
      </w:r>
      <w:r w:rsidR="00EB2757">
        <w:rPr>
          <w:sz w:val="24"/>
          <w:szCs w:val="24"/>
        </w:rPr>
        <w:t xml:space="preserve"> and the question of contact</w:t>
      </w:r>
      <w:r w:rsidR="00EF16C7" w:rsidRPr="00A04BCB">
        <w:rPr>
          <w:sz w:val="24"/>
          <w:szCs w:val="24"/>
        </w:rPr>
        <w:t>.</w:t>
      </w:r>
    </w:p>
    <w:p w14:paraId="1DAD372C" w14:textId="328C024E" w:rsidR="009B49AE" w:rsidRPr="00887330" w:rsidRDefault="009B49AE" w:rsidP="00454D7B">
      <w:pPr>
        <w:jc w:val="both"/>
        <w:rPr>
          <w:b/>
          <w:bCs/>
          <w:sz w:val="28"/>
          <w:szCs w:val="28"/>
        </w:rPr>
      </w:pPr>
      <w:r w:rsidRPr="00887330">
        <w:rPr>
          <w:b/>
          <w:bCs/>
          <w:sz w:val="28"/>
          <w:szCs w:val="28"/>
        </w:rPr>
        <w:t xml:space="preserve">Attendance at </w:t>
      </w:r>
      <w:r w:rsidR="007D1D92" w:rsidRPr="00887330">
        <w:rPr>
          <w:b/>
          <w:bCs/>
          <w:sz w:val="28"/>
          <w:szCs w:val="28"/>
        </w:rPr>
        <w:t>h</w:t>
      </w:r>
      <w:r w:rsidRPr="00887330">
        <w:rPr>
          <w:b/>
          <w:bCs/>
          <w:sz w:val="28"/>
          <w:szCs w:val="28"/>
        </w:rPr>
        <w:t>earings</w:t>
      </w:r>
    </w:p>
    <w:p w14:paraId="5C839A9F" w14:textId="4630EC5A" w:rsidR="009B49AE" w:rsidRPr="0010176F" w:rsidRDefault="003B2B3C" w:rsidP="00454D7B">
      <w:pPr>
        <w:jc w:val="both"/>
        <w:rPr>
          <w:sz w:val="24"/>
          <w:szCs w:val="24"/>
        </w:rPr>
      </w:pPr>
      <w:r>
        <w:rPr>
          <w:sz w:val="24"/>
          <w:szCs w:val="24"/>
        </w:rPr>
        <w:lastRenderedPageBreak/>
        <w:t>2</w:t>
      </w:r>
      <w:r w:rsidR="00905F80">
        <w:rPr>
          <w:sz w:val="24"/>
          <w:szCs w:val="24"/>
        </w:rPr>
        <w:t>2</w:t>
      </w:r>
      <w:r>
        <w:rPr>
          <w:sz w:val="24"/>
          <w:szCs w:val="24"/>
        </w:rPr>
        <w:t xml:space="preserve">. </w:t>
      </w:r>
      <w:r w:rsidR="00201472" w:rsidRPr="00A04BCB">
        <w:rPr>
          <w:sz w:val="24"/>
          <w:szCs w:val="24"/>
        </w:rPr>
        <w:t xml:space="preserve">The advantages of attended </w:t>
      </w:r>
      <w:r w:rsidR="00C45D1E">
        <w:rPr>
          <w:sz w:val="24"/>
          <w:szCs w:val="24"/>
        </w:rPr>
        <w:t>C</w:t>
      </w:r>
      <w:r w:rsidR="00201472" w:rsidRPr="00A04BCB">
        <w:rPr>
          <w:sz w:val="24"/>
          <w:szCs w:val="24"/>
        </w:rPr>
        <w:t xml:space="preserve">ase </w:t>
      </w:r>
      <w:r w:rsidR="00C45D1E">
        <w:rPr>
          <w:sz w:val="24"/>
          <w:szCs w:val="24"/>
        </w:rPr>
        <w:t>M</w:t>
      </w:r>
      <w:r w:rsidR="00201472" w:rsidRPr="00A04BCB">
        <w:rPr>
          <w:sz w:val="24"/>
          <w:szCs w:val="24"/>
        </w:rPr>
        <w:t xml:space="preserve">anagement </w:t>
      </w:r>
      <w:r w:rsidR="00C45D1E">
        <w:rPr>
          <w:sz w:val="24"/>
          <w:szCs w:val="24"/>
        </w:rPr>
        <w:t>H</w:t>
      </w:r>
      <w:r w:rsidR="00201472" w:rsidRPr="00A04BCB">
        <w:rPr>
          <w:sz w:val="24"/>
          <w:szCs w:val="24"/>
        </w:rPr>
        <w:t xml:space="preserve">earings, where all parties are present at court to engage in discussion and </w:t>
      </w:r>
      <w:r w:rsidR="00C3421B">
        <w:rPr>
          <w:sz w:val="24"/>
          <w:szCs w:val="24"/>
        </w:rPr>
        <w:t xml:space="preserve">to engage </w:t>
      </w:r>
      <w:r w:rsidR="00201472" w:rsidRPr="00A04BCB">
        <w:rPr>
          <w:sz w:val="24"/>
          <w:szCs w:val="24"/>
        </w:rPr>
        <w:t xml:space="preserve">with the court </w:t>
      </w:r>
      <w:r w:rsidR="00E24EC0">
        <w:rPr>
          <w:sz w:val="24"/>
          <w:szCs w:val="24"/>
        </w:rPr>
        <w:t xml:space="preserve">on robust case management </w:t>
      </w:r>
      <w:r w:rsidR="00201472" w:rsidRPr="00A04BCB">
        <w:rPr>
          <w:sz w:val="24"/>
          <w:szCs w:val="24"/>
        </w:rPr>
        <w:t>are well established.  In these circumstances,</w:t>
      </w:r>
      <w:r w:rsidR="00201472" w:rsidRPr="00C3421B">
        <w:rPr>
          <w:i/>
          <w:iCs/>
          <w:sz w:val="24"/>
          <w:szCs w:val="24"/>
        </w:rPr>
        <w:t xml:space="preserve"> all</w:t>
      </w:r>
      <w:r w:rsidR="00201472" w:rsidRPr="00A04BCB">
        <w:rPr>
          <w:sz w:val="24"/>
          <w:szCs w:val="24"/>
        </w:rPr>
        <w:t xml:space="preserve"> </w:t>
      </w:r>
      <w:r w:rsidR="00F30E4C">
        <w:rPr>
          <w:sz w:val="24"/>
          <w:szCs w:val="24"/>
        </w:rPr>
        <w:t>C</w:t>
      </w:r>
      <w:r w:rsidR="00201472" w:rsidRPr="00A04BCB">
        <w:rPr>
          <w:sz w:val="24"/>
          <w:szCs w:val="24"/>
        </w:rPr>
        <w:t xml:space="preserve">ase </w:t>
      </w:r>
      <w:r w:rsidR="00F30E4C">
        <w:rPr>
          <w:sz w:val="24"/>
          <w:szCs w:val="24"/>
        </w:rPr>
        <w:t>M</w:t>
      </w:r>
      <w:r w:rsidR="00201472" w:rsidRPr="00A04BCB">
        <w:rPr>
          <w:sz w:val="24"/>
          <w:szCs w:val="24"/>
        </w:rPr>
        <w:t xml:space="preserve">anagement </w:t>
      </w:r>
      <w:r w:rsidR="00F30E4C">
        <w:rPr>
          <w:sz w:val="24"/>
          <w:szCs w:val="24"/>
        </w:rPr>
        <w:t>H</w:t>
      </w:r>
      <w:r w:rsidR="00201472" w:rsidRPr="00A04BCB">
        <w:rPr>
          <w:sz w:val="24"/>
          <w:szCs w:val="24"/>
        </w:rPr>
        <w:t>earings will now be listed as attended hearings</w:t>
      </w:r>
      <w:r w:rsidR="00C3421B">
        <w:rPr>
          <w:sz w:val="24"/>
          <w:szCs w:val="24"/>
        </w:rPr>
        <w:t xml:space="preserve"> in the first instance</w:t>
      </w:r>
      <w:r w:rsidR="00201472" w:rsidRPr="00A04BCB">
        <w:rPr>
          <w:sz w:val="24"/>
          <w:szCs w:val="24"/>
        </w:rPr>
        <w:t>.</w:t>
      </w:r>
      <w:r w:rsidR="0010176F">
        <w:rPr>
          <w:sz w:val="24"/>
          <w:szCs w:val="24"/>
        </w:rPr>
        <w:t xml:space="preserve">  The Issues Resolution Hearing </w:t>
      </w:r>
      <w:r w:rsidR="00B95E16">
        <w:rPr>
          <w:sz w:val="24"/>
          <w:szCs w:val="24"/>
        </w:rPr>
        <w:t xml:space="preserve">and any Final Hearing </w:t>
      </w:r>
      <w:r w:rsidR="0010176F">
        <w:rPr>
          <w:sz w:val="24"/>
          <w:szCs w:val="24"/>
        </w:rPr>
        <w:t xml:space="preserve">will </w:t>
      </w:r>
      <w:r w:rsidR="0010176F">
        <w:rPr>
          <w:i/>
          <w:iCs/>
          <w:sz w:val="24"/>
          <w:szCs w:val="24"/>
        </w:rPr>
        <w:t xml:space="preserve">always </w:t>
      </w:r>
      <w:r w:rsidR="00B95E16">
        <w:rPr>
          <w:sz w:val="24"/>
          <w:szCs w:val="24"/>
        </w:rPr>
        <w:t>proceed as</w:t>
      </w:r>
      <w:r w:rsidR="0010176F">
        <w:rPr>
          <w:sz w:val="24"/>
          <w:szCs w:val="24"/>
        </w:rPr>
        <w:t xml:space="preserve"> an attended hearing.</w:t>
      </w:r>
    </w:p>
    <w:p w14:paraId="03189519" w14:textId="17F1D41F" w:rsidR="00201472" w:rsidRPr="00A04BCB" w:rsidRDefault="003B2B3C" w:rsidP="00454D7B">
      <w:pPr>
        <w:jc w:val="both"/>
        <w:rPr>
          <w:sz w:val="24"/>
          <w:szCs w:val="24"/>
        </w:rPr>
      </w:pPr>
      <w:r>
        <w:rPr>
          <w:sz w:val="24"/>
          <w:szCs w:val="24"/>
        </w:rPr>
        <w:t>2</w:t>
      </w:r>
      <w:r w:rsidR="00905F80">
        <w:rPr>
          <w:sz w:val="24"/>
          <w:szCs w:val="24"/>
        </w:rPr>
        <w:t>3</w:t>
      </w:r>
      <w:r>
        <w:rPr>
          <w:sz w:val="24"/>
          <w:szCs w:val="24"/>
        </w:rPr>
        <w:t xml:space="preserve">. </w:t>
      </w:r>
      <w:r w:rsidR="00085202">
        <w:rPr>
          <w:sz w:val="24"/>
          <w:szCs w:val="24"/>
        </w:rPr>
        <w:t xml:space="preserve">Each DFJ will determine locally whether an </w:t>
      </w:r>
      <w:r w:rsidR="00201472" w:rsidRPr="00A04BCB">
        <w:rPr>
          <w:sz w:val="24"/>
          <w:szCs w:val="24"/>
        </w:rPr>
        <w:t xml:space="preserve">application for </w:t>
      </w:r>
      <w:r w:rsidR="00B95E16">
        <w:rPr>
          <w:sz w:val="24"/>
          <w:szCs w:val="24"/>
        </w:rPr>
        <w:t xml:space="preserve">a Case Management hearing </w:t>
      </w:r>
      <w:r w:rsidR="00201472" w:rsidRPr="00A04BCB">
        <w:rPr>
          <w:sz w:val="24"/>
          <w:szCs w:val="24"/>
        </w:rPr>
        <w:t>to be conducted remotely</w:t>
      </w:r>
      <w:r w:rsidR="00C3421B">
        <w:rPr>
          <w:sz w:val="24"/>
          <w:szCs w:val="24"/>
        </w:rPr>
        <w:t>,</w:t>
      </w:r>
      <w:r w:rsidR="00201472" w:rsidRPr="00A04BCB">
        <w:rPr>
          <w:sz w:val="24"/>
          <w:szCs w:val="24"/>
        </w:rPr>
        <w:t xml:space="preserve"> or for one or more parties to attend </w:t>
      </w:r>
      <w:r w:rsidR="003D2711" w:rsidRPr="00A04BCB">
        <w:rPr>
          <w:sz w:val="24"/>
          <w:szCs w:val="24"/>
        </w:rPr>
        <w:t xml:space="preserve">remotely at </w:t>
      </w:r>
      <w:r w:rsidR="00E9177E">
        <w:rPr>
          <w:sz w:val="24"/>
          <w:szCs w:val="24"/>
        </w:rPr>
        <w:t>a Case Management Hearing</w:t>
      </w:r>
      <w:r w:rsidR="00C3421B">
        <w:rPr>
          <w:sz w:val="24"/>
          <w:szCs w:val="24"/>
        </w:rPr>
        <w:t>,</w:t>
      </w:r>
      <w:r w:rsidR="003D2711" w:rsidRPr="00A04BCB">
        <w:rPr>
          <w:sz w:val="24"/>
          <w:szCs w:val="24"/>
        </w:rPr>
        <w:t xml:space="preserve"> </w:t>
      </w:r>
      <w:r w:rsidR="00085202">
        <w:rPr>
          <w:sz w:val="24"/>
          <w:szCs w:val="24"/>
        </w:rPr>
        <w:t xml:space="preserve">should </w:t>
      </w:r>
      <w:proofErr w:type="gramStart"/>
      <w:r w:rsidR="00085202">
        <w:rPr>
          <w:sz w:val="24"/>
          <w:szCs w:val="24"/>
        </w:rPr>
        <w:t xml:space="preserve">be </w:t>
      </w:r>
      <w:r w:rsidR="003D2711" w:rsidRPr="00A04BCB">
        <w:rPr>
          <w:sz w:val="24"/>
          <w:szCs w:val="24"/>
        </w:rPr>
        <w:t xml:space="preserve"> made</w:t>
      </w:r>
      <w:proofErr w:type="gramEnd"/>
      <w:r w:rsidR="003D2711" w:rsidRPr="00A04BCB">
        <w:rPr>
          <w:sz w:val="24"/>
          <w:szCs w:val="24"/>
        </w:rPr>
        <w:t xml:space="preserve"> by C2 application and a fee paid</w:t>
      </w:r>
      <w:r w:rsidR="00085202">
        <w:rPr>
          <w:sz w:val="24"/>
          <w:szCs w:val="24"/>
        </w:rPr>
        <w:t xml:space="preserve"> or whether a more informal process can be adopted</w:t>
      </w:r>
      <w:r w:rsidR="003D2711" w:rsidRPr="00A04BCB">
        <w:rPr>
          <w:sz w:val="24"/>
          <w:szCs w:val="24"/>
        </w:rPr>
        <w:t>.</w:t>
      </w:r>
      <w:r w:rsidR="00C3421B">
        <w:rPr>
          <w:sz w:val="24"/>
          <w:szCs w:val="24"/>
        </w:rPr>
        <w:t xml:space="preserve"> </w:t>
      </w:r>
    </w:p>
    <w:p w14:paraId="2116403A" w14:textId="0AF236BE" w:rsidR="005143CD" w:rsidRPr="00A04BCB" w:rsidRDefault="003B2B3C" w:rsidP="00F91EC7">
      <w:pPr>
        <w:jc w:val="both"/>
        <w:rPr>
          <w:sz w:val="24"/>
          <w:szCs w:val="24"/>
        </w:rPr>
      </w:pPr>
      <w:r>
        <w:rPr>
          <w:sz w:val="24"/>
          <w:szCs w:val="24"/>
        </w:rPr>
        <w:t>2</w:t>
      </w:r>
      <w:r w:rsidR="00905F80">
        <w:rPr>
          <w:sz w:val="24"/>
          <w:szCs w:val="24"/>
        </w:rPr>
        <w:t>4</w:t>
      </w:r>
      <w:r>
        <w:rPr>
          <w:sz w:val="24"/>
          <w:szCs w:val="24"/>
        </w:rPr>
        <w:t xml:space="preserve">. </w:t>
      </w:r>
      <w:r w:rsidR="007B1B1E" w:rsidRPr="00A04BCB">
        <w:rPr>
          <w:sz w:val="24"/>
          <w:szCs w:val="24"/>
        </w:rPr>
        <w:t xml:space="preserve">The Children’s Guardian </w:t>
      </w:r>
      <w:r w:rsidR="007B1B1E" w:rsidRPr="00A04BCB">
        <w:rPr>
          <w:i/>
          <w:iCs/>
          <w:sz w:val="24"/>
          <w:szCs w:val="24"/>
        </w:rPr>
        <w:t>must</w:t>
      </w:r>
      <w:r w:rsidR="007B1B1E" w:rsidRPr="00A04BCB">
        <w:rPr>
          <w:sz w:val="24"/>
          <w:szCs w:val="24"/>
        </w:rPr>
        <w:t xml:space="preserve"> attend all Issues Resolution </w:t>
      </w:r>
      <w:r w:rsidR="00B112BD">
        <w:rPr>
          <w:sz w:val="24"/>
          <w:szCs w:val="24"/>
        </w:rPr>
        <w:t>H</w:t>
      </w:r>
      <w:r w:rsidR="007B1B1E" w:rsidRPr="00A04BCB">
        <w:rPr>
          <w:sz w:val="24"/>
          <w:szCs w:val="24"/>
        </w:rPr>
        <w:t>earings.</w:t>
      </w:r>
      <w:r w:rsidR="001512F4" w:rsidRPr="00A04BCB">
        <w:rPr>
          <w:sz w:val="24"/>
          <w:szCs w:val="24"/>
        </w:rPr>
        <w:t xml:space="preserve">  Any application made, </w:t>
      </w:r>
      <w:r w:rsidR="001512F4" w:rsidRPr="00A04BCB">
        <w:rPr>
          <w:i/>
          <w:iCs/>
          <w:sz w:val="24"/>
          <w:szCs w:val="24"/>
        </w:rPr>
        <w:t>exceptionally</w:t>
      </w:r>
      <w:r w:rsidR="001512F4" w:rsidRPr="00A04BCB">
        <w:rPr>
          <w:sz w:val="24"/>
          <w:szCs w:val="24"/>
        </w:rPr>
        <w:t>, to excuse the attendance of the Children’s Guardian must be made by way of Form C2 and the required fee paid.</w:t>
      </w:r>
      <w:r w:rsidR="002F2807">
        <w:rPr>
          <w:sz w:val="24"/>
          <w:szCs w:val="24"/>
        </w:rPr>
        <w:t xml:space="preserve">  Request</w:t>
      </w:r>
      <w:r w:rsidR="00BC115E">
        <w:rPr>
          <w:sz w:val="24"/>
          <w:szCs w:val="24"/>
        </w:rPr>
        <w:t>s</w:t>
      </w:r>
      <w:r w:rsidR="002F2807">
        <w:rPr>
          <w:sz w:val="24"/>
          <w:szCs w:val="24"/>
        </w:rPr>
        <w:t xml:space="preserve"> made by email will not be </w:t>
      </w:r>
      <w:r w:rsidR="004C0B93">
        <w:rPr>
          <w:sz w:val="24"/>
          <w:szCs w:val="24"/>
        </w:rPr>
        <w:t xml:space="preserve">accepted and will not be </w:t>
      </w:r>
      <w:r w:rsidR="002F2807">
        <w:rPr>
          <w:sz w:val="24"/>
          <w:szCs w:val="24"/>
        </w:rPr>
        <w:t>dealt with.</w:t>
      </w:r>
    </w:p>
    <w:p w14:paraId="4B0F0BA3" w14:textId="2F2E65D1" w:rsidR="005143CD" w:rsidRPr="00887330" w:rsidRDefault="00F91EC7" w:rsidP="002C1238">
      <w:pPr>
        <w:rPr>
          <w:b/>
          <w:bCs/>
          <w:sz w:val="28"/>
          <w:szCs w:val="28"/>
        </w:rPr>
      </w:pPr>
      <w:r w:rsidRPr="00887330">
        <w:rPr>
          <w:b/>
          <w:bCs/>
          <w:sz w:val="28"/>
          <w:szCs w:val="28"/>
        </w:rPr>
        <w:t>Compliance</w:t>
      </w:r>
      <w:r w:rsidR="00964701" w:rsidRPr="00887330">
        <w:rPr>
          <w:b/>
          <w:bCs/>
          <w:sz w:val="28"/>
          <w:szCs w:val="28"/>
        </w:rPr>
        <w:t xml:space="preserve"> </w:t>
      </w:r>
    </w:p>
    <w:p w14:paraId="109CCCCE" w14:textId="3A343C5E" w:rsidR="005E1AD9" w:rsidRPr="00A04BCB" w:rsidRDefault="003B2B3C" w:rsidP="005E1AD9">
      <w:pPr>
        <w:jc w:val="both"/>
        <w:rPr>
          <w:sz w:val="24"/>
          <w:szCs w:val="24"/>
        </w:rPr>
      </w:pPr>
      <w:r>
        <w:rPr>
          <w:sz w:val="24"/>
          <w:szCs w:val="24"/>
        </w:rPr>
        <w:t>2</w:t>
      </w:r>
      <w:r w:rsidR="00905F80">
        <w:rPr>
          <w:sz w:val="24"/>
          <w:szCs w:val="24"/>
        </w:rPr>
        <w:t>5</w:t>
      </w:r>
      <w:r>
        <w:rPr>
          <w:sz w:val="24"/>
          <w:szCs w:val="24"/>
        </w:rPr>
        <w:t xml:space="preserve">. </w:t>
      </w:r>
      <w:r w:rsidR="005E1AD9" w:rsidRPr="00A04BCB">
        <w:rPr>
          <w:sz w:val="24"/>
          <w:szCs w:val="24"/>
        </w:rPr>
        <w:t>It is not accept</w:t>
      </w:r>
      <w:r w:rsidR="002F2807">
        <w:rPr>
          <w:sz w:val="24"/>
          <w:szCs w:val="24"/>
        </w:rPr>
        <w:t>able</w:t>
      </w:r>
      <w:r w:rsidR="005E1AD9" w:rsidRPr="00A04BCB">
        <w:rPr>
          <w:sz w:val="24"/>
          <w:szCs w:val="24"/>
        </w:rPr>
        <w:t xml:space="preserve"> for parties to wait for the next </w:t>
      </w:r>
      <w:r w:rsidR="00C07681">
        <w:rPr>
          <w:sz w:val="24"/>
          <w:szCs w:val="24"/>
        </w:rPr>
        <w:t xml:space="preserve">listed </w:t>
      </w:r>
      <w:r w:rsidR="005E1AD9" w:rsidRPr="00A04BCB">
        <w:rPr>
          <w:sz w:val="24"/>
          <w:szCs w:val="24"/>
        </w:rPr>
        <w:t xml:space="preserve">hearing before addressing </w:t>
      </w:r>
      <w:r w:rsidR="002F2807">
        <w:rPr>
          <w:sz w:val="24"/>
          <w:szCs w:val="24"/>
        </w:rPr>
        <w:t xml:space="preserve">any </w:t>
      </w:r>
      <w:r w:rsidR="005E1AD9" w:rsidRPr="00A04BCB">
        <w:rPr>
          <w:sz w:val="24"/>
          <w:szCs w:val="24"/>
        </w:rPr>
        <w:t>failure to comply with the case management timetable.</w:t>
      </w:r>
    </w:p>
    <w:p w14:paraId="00F2FF1E" w14:textId="5B450FDA" w:rsidR="00CF6C43" w:rsidRDefault="003B2B3C" w:rsidP="005E1AD9">
      <w:pPr>
        <w:jc w:val="both"/>
        <w:rPr>
          <w:sz w:val="24"/>
          <w:szCs w:val="24"/>
        </w:rPr>
      </w:pPr>
      <w:r>
        <w:rPr>
          <w:sz w:val="24"/>
          <w:szCs w:val="24"/>
        </w:rPr>
        <w:t>2</w:t>
      </w:r>
      <w:r w:rsidR="00905F80">
        <w:rPr>
          <w:sz w:val="24"/>
          <w:szCs w:val="24"/>
        </w:rPr>
        <w:t>6</w:t>
      </w:r>
      <w:r>
        <w:rPr>
          <w:sz w:val="24"/>
          <w:szCs w:val="24"/>
        </w:rPr>
        <w:t xml:space="preserve">. </w:t>
      </w:r>
      <w:r w:rsidR="00CF6C43">
        <w:rPr>
          <w:sz w:val="24"/>
          <w:szCs w:val="24"/>
        </w:rPr>
        <w:t xml:space="preserve">The family </w:t>
      </w:r>
      <w:r w:rsidR="00D87D10">
        <w:rPr>
          <w:sz w:val="24"/>
          <w:szCs w:val="24"/>
        </w:rPr>
        <w:t xml:space="preserve">panel justices and </w:t>
      </w:r>
      <w:r w:rsidR="00C07681">
        <w:rPr>
          <w:sz w:val="24"/>
          <w:szCs w:val="24"/>
        </w:rPr>
        <w:t xml:space="preserve">family </w:t>
      </w:r>
      <w:r w:rsidR="00D87D10">
        <w:rPr>
          <w:sz w:val="24"/>
          <w:szCs w:val="24"/>
        </w:rPr>
        <w:t xml:space="preserve">judges </w:t>
      </w:r>
      <w:r w:rsidR="00CF6C43" w:rsidRPr="00CF6C43">
        <w:rPr>
          <w:sz w:val="24"/>
          <w:szCs w:val="24"/>
        </w:rPr>
        <w:t>will</w:t>
      </w:r>
      <w:r w:rsidR="00666A40">
        <w:rPr>
          <w:sz w:val="24"/>
          <w:szCs w:val="24"/>
        </w:rPr>
        <w:t xml:space="preserve"> now</w:t>
      </w:r>
      <w:r w:rsidR="00CF6C43" w:rsidRPr="00CF6C43">
        <w:rPr>
          <w:sz w:val="24"/>
          <w:szCs w:val="24"/>
        </w:rPr>
        <w:t xml:space="preserve"> have the option of listing a non-compliance hearing </w:t>
      </w:r>
      <w:r w:rsidR="00D87D10">
        <w:rPr>
          <w:sz w:val="24"/>
          <w:szCs w:val="24"/>
        </w:rPr>
        <w:t xml:space="preserve">in a compliance list </w:t>
      </w:r>
      <w:r w:rsidR="00CF6C43" w:rsidRPr="00CF6C43">
        <w:rPr>
          <w:sz w:val="24"/>
          <w:szCs w:val="24"/>
        </w:rPr>
        <w:t>where a party to care proceedings has failed to comply with a court timetable.</w:t>
      </w:r>
      <w:r w:rsidR="007F2FCD">
        <w:rPr>
          <w:sz w:val="24"/>
          <w:szCs w:val="24"/>
        </w:rPr>
        <w:t xml:space="preserve"> The need for Compliance Lists will be considered by each Designated Family Judge area</w:t>
      </w:r>
      <w:r w:rsidR="00DE3F63">
        <w:rPr>
          <w:sz w:val="24"/>
          <w:szCs w:val="24"/>
        </w:rPr>
        <w:t xml:space="preserve">. </w:t>
      </w:r>
      <w:r w:rsidR="0099115F">
        <w:rPr>
          <w:sz w:val="24"/>
          <w:szCs w:val="24"/>
        </w:rPr>
        <w:t xml:space="preserve"> </w:t>
      </w:r>
    </w:p>
    <w:p w14:paraId="66EDA321" w14:textId="3FC7CE01" w:rsidR="009C3665" w:rsidRPr="009C3665" w:rsidRDefault="003B2B3C" w:rsidP="009C3665">
      <w:pPr>
        <w:jc w:val="both"/>
        <w:rPr>
          <w:sz w:val="24"/>
          <w:szCs w:val="24"/>
        </w:rPr>
      </w:pPr>
      <w:r>
        <w:rPr>
          <w:sz w:val="24"/>
          <w:szCs w:val="24"/>
        </w:rPr>
        <w:t>2</w:t>
      </w:r>
      <w:r w:rsidR="00905F80">
        <w:rPr>
          <w:sz w:val="24"/>
          <w:szCs w:val="24"/>
        </w:rPr>
        <w:t>7</w:t>
      </w:r>
      <w:r>
        <w:rPr>
          <w:sz w:val="24"/>
          <w:szCs w:val="24"/>
        </w:rPr>
        <w:t xml:space="preserve">. </w:t>
      </w:r>
      <w:r w:rsidR="00387D2D">
        <w:rPr>
          <w:sz w:val="24"/>
          <w:szCs w:val="24"/>
        </w:rPr>
        <w:t xml:space="preserve">The precise format of a compliance hearing will be for each DFJ to decide.  </w:t>
      </w:r>
    </w:p>
    <w:p w14:paraId="0E88E3C7" w14:textId="793E5142" w:rsidR="00C07681" w:rsidRPr="00C07681" w:rsidRDefault="003B2B3C" w:rsidP="00C07681">
      <w:pPr>
        <w:jc w:val="both"/>
        <w:rPr>
          <w:sz w:val="24"/>
          <w:szCs w:val="24"/>
        </w:rPr>
      </w:pPr>
      <w:r>
        <w:rPr>
          <w:sz w:val="24"/>
          <w:szCs w:val="24"/>
        </w:rPr>
        <w:t>2</w:t>
      </w:r>
      <w:r w:rsidR="00905F80">
        <w:rPr>
          <w:sz w:val="24"/>
          <w:szCs w:val="24"/>
        </w:rPr>
        <w:t>8</w:t>
      </w:r>
      <w:r>
        <w:rPr>
          <w:sz w:val="24"/>
          <w:szCs w:val="24"/>
        </w:rPr>
        <w:t xml:space="preserve">. </w:t>
      </w:r>
      <w:r w:rsidR="00D413E6" w:rsidRPr="00A04BCB">
        <w:rPr>
          <w:sz w:val="24"/>
          <w:szCs w:val="24"/>
        </w:rPr>
        <w:t>All parties will be expected to monitor compliance with the court timetable and, if needed, report any failures to the cour</w:t>
      </w:r>
      <w:r w:rsidR="005E1AD9" w:rsidRPr="00A04BCB">
        <w:rPr>
          <w:sz w:val="24"/>
          <w:szCs w:val="24"/>
        </w:rPr>
        <w:t>t.</w:t>
      </w:r>
    </w:p>
    <w:p w14:paraId="5BE3E83A" w14:textId="5150D8E7" w:rsidR="003225FF" w:rsidRPr="00A04BCB" w:rsidRDefault="003225FF" w:rsidP="009A24E9">
      <w:pPr>
        <w:rPr>
          <w:sz w:val="24"/>
          <w:szCs w:val="24"/>
        </w:rPr>
      </w:pPr>
    </w:p>
    <w:p w14:paraId="259DFBF9" w14:textId="34EFD485" w:rsidR="003225FF" w:rsidRDefault="003225FF" w:rsidP="003225FF">
      <w:pPr>
        <w:jc w:val="right"/>
        <w:rPr>
          <w:b/>
          <w:bCs/>
          <w:sz w:val="24"/>
          <w:szCs w:val="24"/>
        </w:rPr>
      </w:pPr>
      <w:r w:rsidRPr="00887330">
        <w:rPr>
          <w:b/>
          <w:bCs/>
          <w:sz w:val="24"/>
          <w:szCs w:val="24"/>
        </w:rPr>
        <w:t xml:space="preserve">Mr Justice </w:t>
      </w:r>
      <w:r w:rsidR="00721F59">
        <w:rPr>
          <w:b/>
          <w:bCs/>
          <w:sz w:val="24"/>
          <w:szCs w:val="24"/>
        </w:rPr>
        <w:t>Williams</w:t>
      </w:r>
    </w:p>
    <w:p w14:paraId="6FB8C1BD" w14:textId="7BB6F76B" w:rsidR="00721F59" w:rsidRDefault="00721F59" w:rsidP="003225FF">
      <w:pPr>
        <w:jc w:val="right"/>
        <w:rPr>
          <w:b/>
          <w:bCs/>
          <w:sz w:val="24"/>
          <w:szCs w:val="24"/>
        </w:rPr>
      </w:pPr>
      <w:r>
        <w:rPr>
          <w:b/>
          <w:bCs/>
          <w:sz w:val="24"/>
          <w:szCs w:val="24"/>
        </w:rPr>
        <w:t>HHJ Bedford</w:t>
      </w:r>
    </w:p>
    <w:p w14:paraId="353ECE1D" w14:textId="0AFBD44E" w:rsidR="00721F59" w:rsidRDefault="00721F59" w:rsidP="003225FF">
      <w:pPr>
        <w:jc w:val="right"/>
        <w:rPr>
          <w:b/>
          <w:bCs/>
          <w:sz w:val="24"/>
          <w:szCs w:val="24"/>
        </w:rPr>
      </w:pPr>
      <w:r>
        <w:rPr>
          <w:b/>
          <w:bCs/>
          <w:sz w:val="24"/>
          <w:szCs w:val="24"/>
        </w:rPr>
        <w:t>HHJ Davies</w:t>
      </w:r>
    </w:p>
    <w:p w14:paraId="7A0C6184" w14:textId="2412EB28" w:rsidR="00721F59" w:rsidRDefault="00721F59" w:rsidP="003225FF">
      <w:pPr>
        <w:jc w:val="right"/>
        <w:rPr>
          <w:b/>
          <w:bCs/>
          <w:sz w:val="24"/>
          <w:szCs w:val="24"/>
        </w:rPr>
      </w:pPr>
      <w:r>
        <w:rPr>
          <w:b/>
          <w:bCs/>
          <w:sz w:val="24"/>
          <w:szCs w:val="24"/>
        </w:rPr>
        <w:t>HHJ Moradifar</w:t>
      </w:r>
    </w:p>
    <w:p w14:paraId="04D4344D" w14:textId="2FD5C72E" w:rsidR="00721F59" w:rsidRDefault="00721F59" w:rsidP="003225FF">
      <w:pPr>
        <w:jc w:val="right"/>
        <w:rPr>
          <w:b/>
          <w:bCs/>
          <w:sz w:val="24"/>
          <w:szCs w:val="24"/>
        </w:rPr>
      </w:pPr>
      <w:r>
        <w:rPr>
          <w:b/>
          <w:bCs/>
          <w:sz w:val="24"/>
          <w:szCs w:val="24"/>
        </w:rPr>
        <w:t>HHJ Perusko</w:t>
      </w:r>
    </w:p>
    <w:p w14:paraId="3746E9EE" w14:textId="201C9F70" w:rsidR="00721F59" w:rsidRPr="00887330" w:rsidRDefault="00721F59" w:rsidP="003225FF">
      <w:pPr>
        <w:jc w:val="right"/>
        <w:rPr>
          <w:b/>
          <w:bCs/>
          <w:sz w:val="24"/>
          <w:szCs w:val="24"/>
        </w:rPr>
      </w:pPr>
      <w:r>
        <w:rPr>
          <w:b/>
          <w:bCs/>
          <w:sz w:val="24"/>
          <w:szCs w:val="24"/>
        </w:rPr>
        <w:t>HHJ Raeside</w:t>
      </w:r>
    </w:p>
    <w:p w14:paraId="5E76497D" w14:textId="39E0FB34" w:rsidR="00BC51F6" w:rsidRDefault="00DD3B6B" w:rsidP="00BC51F6">
      <w:pPr>
        <w:jc w:val="right"/>
        <w:rPr>
          <w:b/>
          <w:bCs/>
          <w:sz w:val="24"/>
          <w:szCs w:val="24"/>
        </w:rPr>
      </w:pPr>
      <w:r>
        <w:rPr>
          <w:b/>
          <w:bCs/>
          <w:sz w:val="24"/>
          <w:szCs w:val="24"/>
        </w:rPr>
        <w:t xml:space="preserve">3 February </w:t>
      </w:r>
      <w:r w:rsidR="003225FF" w:rsidRPr="00887330">
        <w:rPr>
          <w:b/>
          <w:bCs/>
          <w:sz w:val="24"/>
          <w:szCs w:val="24"/>
        </w:rPr>
        <w:t>2023</w:t>
      </w:r>
    </w:p>
    <w:p w14:paraId="1B29FE28" w14:textId="350811EF" w:rsidR="00BC51F6" w:rsidRDefault="00BC51F6" w:rsidP="00887330">
      <w:pPr>
        <w:jc w:val="right"/>
        <w:rPr>
          <w:b/>
          <w:bCs/>
          <w:sz w:val="24"/>
          <w:szCs w:val="24"/>
        </w:rPr>
      </w:pPr>
    </w:p>
    <w:p w14:paraId="11A4C9A8" w14:textId="7AB631FC" w:rsidR="00BC51F6" w:rsidRDefault="00BC51F6" w:rsidP="00887330">
      <w:pPr>
        <w:jc w:val="right"/>
        <w:rPr>
          <w:b/>
          <w:bCs/>
          <w:sz w:val="24"/>
          <w:szCs w:val="24"/>
        </w:rPr>
      </w:pPr>
    </w:p>
    <w:p w14:paraId="0116B660" w14:textId="4E18F762" w:rsidR="00966791" w:rsidRDefault="00966791" w:rsidP="00905F80">
      <w:pPr>
        <w:rPr>
          <w:b/>
          <w:bCs/>
          <w:sz w:val="24"/>
          <w:szCs w:val="24"/>
        </w:rPr>
      </w:pPr>
    </w:p>
    <w:sectPr w:rsidR="009667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05141" w14:textId="77777777" w:rsidR="003F4050" w:rsidRDefault="003F4050" w:rsidP="00072245">
      <w:pPr>
        <w:spacing w:after="0" w:line="240" w:lineRule="auto"/>
      </w:pPr>
      <w:r>
        <w:separator/>
      </w:r>
    </w:p>
  </w:endnote>
  <w:endnote w:type="continuationSeparator" w:id="0">
    <w:p w14:paraId="0EC6C3B2" w14:textId="77777777" w:rsidR="003F4050" w:rsidRDefault="003F4050" w:rsidP="0007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4BC39" w14:textId="77777777" w:rsidR="003F4050" w:rsidRDefault="003F4050" w:rsidP="00072245">
      <w:pPr>
        <w:spacing w:after="0" w:line="240" w:lineRule="auto"/>
      </w:pPr>
      <w:r>
        <w:separator/>
      </w:r>
    </w:p>
  </w:footnote>
  <w:footnote w:type="continuationSeparator" w:id="0">
    <w:p w14:paraId="5DFD0B98" w14:textId="77777777" w:rsidR="003F4050" w:rsidRDefault="003F4050" w:rsidP="000722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C1F762E-D0D1-49F2-BB8D-17734D8DB657}"/>
    <w:docVar w:name="dgnword-eventsink" w:val="2951112600336"/>
  </w:docVars>
  <w:rsids>
    <w:rsidRoot w:val="002C1238"/>
    <w:rsid w:val="0003001F"/>
    <w:rsid w:val="00052AD5"/>
    <w:rsid w:val="00072245"/>
    <w:rsid w:val="000724F3"/>
    <w:rsid w:val="0008250B"/>
    <w:rsid w:val="00085202"/>
    <w:rsid w:val="000B5CD9"/>
    <w:rsid w:val="000D6B92"/>
    <w:rsid w:val="000F513A"/>
    <w:rsid w:val="000F754F"/>
    <w:rsid w:val="000F7677"/>
    <w:rsid w:val="00101268"/>
    <w:rsid w:val="0010176F"/>
    <w:rsid w:val="00132AD4"/>
    <w:rsid w:val="0014670A"/>
    <w:rsid w:val="001512F4"/>
    <w:rsid w:val="001645CC"/>
    <w:rsid w:val="001673A9"/>
    <w:rsid w:val="001728B5"/>
    <w:rsid w:val="001B12D6"/>
    <w:rsid w:val="001B325E"/>
    <w:rsid w:val="001E2840"/>
    <w:rsid w:val="001E7363"/>
    <w:rsid w:val="001E7DF9"/>
    <w:rsid w:val="001F18E9"/>
    <w:rsid w:val="001F2625"/>
    <w:rsid w:val="001F3062"/>
    <w:rsid w:val="001F4DFE"/>
    <w:rsid w:val="00201472"/>
    <w:rsid w:val="002140F1"/>
    <w:rsid w:val="00223B26"/>
    <w:rsid w:val="00242E7B"/>
    <w:rsid w:val="00250153"/>
    <w:rsid w:val="00274897"/>
    <w:rsid w:val="002976B9"/>
    <w:rsid w:val="00297BDD"/>
    <w:rsid w:val="002C1238"/>
    <w:rsid w:val="002F2807"/>
    <w:rsid w:val="002F5FCA"/>
    <w:rsid w:val="00306A98"/>
    <w:rsid w:val="00320B7D"/>
    <w:rsid w:val="003225FF"/>
    <w:rsid w:val="00335B2A"/>
    <w:rsid w:val="00345A67"/>
    <w:rsid w:val="00350F3E"/>
    <w:rsid w:val="00373DE2"/>
    <w:rsid w:val="00387D2D"/>
    <w:rsid w:val="003A11FE"/>
    <w:rsid w:val="003A43BE"/>
    <w:rsid w:val="003B1BF2"/>
    <w:rsid w:val="003B2B3C"/>
    <w:rsid w:val="003D16FB"/>
    <w:rsid w:val="003D2711"/>
    <w:rsid w:val="003F4050"/>
    <w:rsid w:val="004102D4"/>
    <w:rsid w:val="0041294F"/>
    <w:rsid w:val="00415708"/>
    <w:rsid w:val="00416F2B"/>
    <w:rsid w:val="004210A9"/>
    <w:rsid w:val="00435F19"/>
    <w:rsid w:val="00444578"/>
    <w:rsid w:val="00451BCE"/>
    <w:rsid w:val="00451FED"/>
    <w:rsid w:val="00454D7B"/>
    <w:rsid w:val="0045726A"/>
    <w:rsid w:val="004726BF"/>
    <w:rsid w:val="00482F30"/>
    <w:rsid w:val="00486299"/>
    <w:rsid w:val="00497BCE"/>
    <w:rsid w:val="004A6679"/>
    <w:rsid w:val="004B3803"/>
    <w:rsid w:val="004C0B93"/>
    <w:rsid w:val="004C5DFD"/>
    <w:rsid w:val="004C6727"/>
    <w:rsid w:val="004D2C0F"/>
    <w:rsid w:val="004E4D3D"/>
    <w:rsid w:val="005053EB"/>
    <w:rsid w:val="005107E7"/>
    <w:rsid w:val="005143CD"/>
    <w:rsid w:val="00516690"/>
    <w:rsid w:val="00543BC0"/>
    <w:rsid w:val="005744FE"/>
    <w:rsid w:val="00592AFD"/>
    <w:rsid w:val="005A1381"/>
    <w:rsid w:val="005B5F75"/>
    <w:rsid w:val="005D64FA"/>
    <w:rsid w:val="005E0C45"/>
    <w:rsid w:val="005E1AD9"/>
    <w:rsid w:val="00633D33"/>
    <w:rsid w:val="00642E43"/>
    <w:rsid w:val="006439E7"/>
    <w:rsid w:val="00652857"/>
    <w:rsid w:val="006532AA"/>
    <w:rsid w:val="00654F9D"/>
    <w:rsid w:val="0065516B"/>
    <w:rsid w:val="00657116"/>
    <w:rsid w:val="006614A7"/>
    <w:rsid w:val="00666A40"/>
    <w:rsid w:val="00685768"/>
    <w:rsid w:val="006B5A40"/>
    <w:rsid w:val="006B7519"/>
    <w:rsid w:val="006C5A15"/>
    <w:rsid w:val="006D06F5"/>
    <w:rsid w:val="006D0753"/>
    <w:rsid w:val="006D364D"/>
    <w:rsid w:val="006E314E"/>
    <w:rsid w:val="006E6B2F"/>
    <w:rsid w:val="006F204C"/>
    <w:rsid w:val="00714B2D"/>
    <w:rsid w:val="00715046"/>
    <w:rsid w:val="00721F59"/>
    <w:rsid w:val="0075355E"/>
    <w:rsid w:val="00755E7F"/>
    <w:rsid w:val="00765622"/>
    <w:rsid w:val="007A26D4"/>
    <w:rsid w:val="007A5F84"/>
    <w:rsid w:val="007B1B1E"/>
    <w:rsid w:val="007B5EB3"/>
    <w:rsid w:val="007C0AF1"/>
    <w:rsid w:val="007D1D92"/>
    <w:rsid w:val="007E01C3"/>
    <w:rsid w:val="007E564B"/>
    <w:rsid w:val="007E5EEC"/>
    <w:rsid w:val="007E732D"/>
    <w:rsid w:val="007F0030"/>
    <w:rsid w:val="007F20B6"/>
    <w:rsid w:val="007F2B23"/>
    <w:rsid w:val="007F2FCD"/>
    <w:rsid w:val="00814C38"/>
    <w:rsid w:val="008235CB"/>
    <w:rsid w:val="00855F5D"/>
    <w:rsid w:val="00864624"/>
    <w:rsid w:val="00880C3B"/>
    <w:rsid w:val="00887330"/>
    <w:rsid w:val="008A0761"/>
    <w:rsid w:val="008C1837"/>
    <w:rsid w:val="008F7CB1"/>
    <w:rsid w:val="00902516"/>
    <w:rsid w:val="00905F80"/>
    <w:rsid w:val="0091452F"/>
    <w:rsid w:val="00927F65"/>
    <w:rsid w:val="0093721B"/>
    <w:rsid w:val="009404E3"/>
    <w:rsid w:val="00964701"/>
    <w:rsid w:val="00966791"/>
    <w:rsid w:val="009812A5"/>
    <w:rsid w:val="0099115F"/>
    <w:rsid w:val="009978C5"/>
    <w:rsid w:val="009A24E9"/>
    <w:rsid w:val="009B49AE"/>
    <w:rsid w:val="009B507B"/>
    <w:rsid w:val="009C3665"/>
    <w:rsid w:val="009D14A7"/>
    <w:rsid w:val="009D1A8F"/>
    <w:rsid w:val="009E05E1"/>
    <w:rsid w:val="009E3CD2"/>
    <w:rsid w:val="009F36A3"/>
    <w:rsid w:val="00A04BCB"/>
    <w:rsid w:val="00A165A2"/>
    <w:rsid w:val="00A171C8"/>
    <w:rsid w:val="00A307F5"/>
    <w:rsid w:val="00A42C67"/>
    <w:rsid w:val="00A85A04"/>
    <w:rsid w:val="00AB5563"/>
    <w:rsid w:val="00AC3A5C"/>
    <w:rsid w:val="00AC6B06"/>
    <w:rsid w:val="00B00E33"/>
    <w:rsid w:val="00B112BD"/>
    <w:rsid w:val="00B157DF"/>
    <w:rsid w:val="00B2026E"/>
    <w:rsid w:val="00B40ADA"/>
    <w:rsid w:val="00B421E4"/>
    <w:rsid w:val="00B45886"/>
    <w:rsid w:val="00B50A41"/>
    <w:rsid w:val="00B57D8D"/>
    <w:rsid w:val="00B87552"/>
    <w:rsid w:val="00B9179E"/>
    <w:rsid w:val="00B9455B"/>
    <w:rsid w:val="00B95E16"/>
    <w:rsid w:val="00BA0484"/>
    <w:rsid w:val="00BA3AB5"/>
    <w:rsid w:val="00BC03F1"/>
    <w:rsid w:val="00BC115E"/>
    <w:rsid w:val="00BC51F6"/>
    <w:rsid w:val="00BC624E"/>
    <w:rsid w:val="00BC716B"/>
    <w:rsid w:val="00BD3598"/>
    <w:rsid w:val="00BD4B37"/>
    <w:rsid w:val="00C07681"/>
    <w:rsid w:val="00C324C5"/>
    <w:rsid w:val="00C3285E"/>
    <w:rsid w:val="00C3421B"/>
    <w:rsid w:val="00C45D1E"/>
    <w:rsid w:val="00C5622E"/>
    <w:rsid w:val="00C70D0A"/>
    <w:rsid w:val="00C75430"/>
    <w:rsid w:val="00C825C6"/>
    <w:rsid w:val="00C831A2"/>
    <w:rsid w:val="00C85DE9"/>
    <w:rsid w:val="00C95822"/>
    <w:rsid w:val="00C958A4"/>
    <w:rsid w:val="00CA75FD"/>
    <w:rsid w:val="00CC2BCD"/>
    <w:rsid w:val="00CD5158"/>
    <w:rsid w:val="00CF58FB"/>
    <w:rsid w:val="00CF6C43"/>
    <w:rsid w:val="00D05299"/>
    <w:rsid w:val="00D202E1"/>
    <w:rsid w:val="00D22E08"/>
    <w:rsid w:val="00D2559D"/>
    <w:rsid w:val="00D30375"/>
    <w:rsid w:val="00D413E6"/>
    <w:rsid w:val="00D867FC"/>
    <w:rsid w:val="00D87D10"/>
    <w:rsid w:val="00DB0BED"/>
    <w:rsid w:val="00DB4D7C"/>
    <w:rsid w:val="00DD3B6B"/>
    <w:rsid w:val="00DE3F63"/>
    <w:rsid w:val="00DE4A4D"/>
    <w:rsid w:val="00DE5520"/>
    <w:rsid w:val="00DF6E0D"/>
    <w:rsid w:val="00E0132F"/>
    <w:rsid w:val="00E24EC0"/>
    <w:rsid w:val="00E349D5"/>
    <w:rsid w:val="00E34A1D"/>
    <w:rsid w:val="00E5490A"/>
    <w:rsid w:val="00E62951"/>
    <w:rsid w:val="00E670E6"/>
    <w:rsid w:val="00E772D0"/>
    <w:rsid w:val="00E80C69"/>
    <w:rsid w:val="00E9177E"/>
    <w:rsid w:val="00E9698E"/>
    <w:rsid w:val="00E96A8E"/>
    <w:rsid w:val="00EA4BBA"/>
    <w:rsid w:val="00EA4DD2"/>
    <w:rsid w:val="00EB2757"/>
    <w:rsid w:val="00EE022D"/>
    <w:rsid w:val="00EE0CE3"/>
    <w:rsid w:val="00EE2459"/>
    <w:rsid w:val="00EF16C7"/>
    <w:rsid w:val="00F04A88"/>
    <w:rsid w:val="00F12B5C"/>
    <w:rsid w:val="00F23959"/>
    <w:rsid w:val="00F30E4C"/>
    <w:rsid w:val="00F36835"/>
    <w:rsid w:val="00F37C90"/>
    <w:rsid w:val="00F413C2"/>
    <w:rsid w:val="00F42A7E"/>
    <w:rsid w:val="00F45DB3"/>
    <w:rsid w:val="00F51BA0"/>
    <w:rsid w:val="00F7014E"/>
    <w:rsid w:val="00F71F45"/>
    <w:rsid w:val="00F91EC7"/>
    <w:rsid w:val="00FA63F8"/>
    <w:rsid w:val="00FA68B8"/>
    <w:rsid w:val="00FD48E6"/>
    <w:rsid w:val="00FE792E"/>
    <w:rsid w:val="00FE7EC8"/>
    <w:rsid w:val="00FF7C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3461"/>
  <w15:chartTrackingRefBased/>
  <w15:docId w15:val="{4BE30206-4174-4308-B6A3-ED617B09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245"/>
  </w:style>
  <w:style w:type="paragraph" w:styleId="Footer">
    <w:name w:val="footer"/>
    <w:basedOn w:val="Normal"/>
    <w:link w:val="FooterChar"/>
    <w:uiPriority w:val="99"/>
    <w:unhideWhenUsed/>
    <w:rsid w:val="00072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245"/>
  </w:style>
  <w:style w:type="paragraph" w:styleId="Revision">
    <w:name w:val="Revision"/>
    <w:hidden/>
    <w:uiPriority w:val="99"/>
    <w:semiHidden/>
    <w:rsid w:val="00C831A2"/>
    <w:pPr>
      <w:spacing w:after="0" w:line="240" w:lineRule="auto"/>
    </w:pPr>
  </w:style>
  <w:style w:type="character" w:styleId="CommentReference">
    <w:name w:val="annotation reference"/>
    <w:basedOn w:val="DefaultParagraphFont"/>
    <w:uiPriority w:val="99"/>
    <w:semiHidden/>
    <w:unhideWhenUsed/>
    <w:rsid w:val="00A165A2"/>
    <w:rPr>
      <w:sz w:val="16"/>
      <w:szCs w:val="16"/>
    </w:rPr>
  </w:style>
  <w:style w:type="paragraph" w:styleId="CommentText">
    <w:name w:val="annotation text"/>
    <w:basedOn w:val="Normal"/>
    <w:link w:val="CommentTextChar"/>
    <w:uiPriority w:val="99"/>
    <w:unhideWhenUsed/>
    <w:rsid w:val="00A165A2"/>
    <w:pPr>
      <w:spacing w:line="240" w:lineRule="auto"/>
    </w:pPr>
    <w:rPr>
      <w:sz w:val="20"/>
      <w:szCs w:val="20"/>
    </w:rPr>
  </w:style>
  <w:style w:type="character" w:customStyle="1" w:styleId="CommentTextChar">
    <w:name w:val="Comment Text Char"/>
    <w:basedOn w:val="DefaultParagraphFont"/>
    <w:link w:val="CommentText"/>
    <w:uiPriority w:val="99"/>
    <w:rsid w:val="00A165A2"/>
    <w:rPr>
      <w:sz w:val="20"/>
      <w:szCs w:val="20"/>
    </w:rPr>
  </w:style>
  <w:style w:type="paragraph" w:styleId="CommentSubject">
    <w:name w:val="annotation subject"/>
    <w:basedOn w:val="CommentText"/>
    <w:next w:val="CommentText"/>
    <w:link w:val="CommentSubjectChar"/>
    <w:uiPriority w:val="99"/>
    <w:semiHidden/>
    <w:unhideWhenUsed/>
    <w:rsid w:val="00A165A2"/>
    <w:rPr>
      <w:b/>
      <w:bCs/>
    </w:rPr>
  </w:style>
  <w:style w:type="character" w:customStyle="1" w:styleId="CommentSubjectChar">
    <w:name w:val="Comment Subject Char"/>
    <w:basedOn w:val="CommentTextChar"/>
    <w:link w:val="CommentSubject"/>
    <w:uiPriority w:val="99"/>
    <w:semiHidden/>
    <w:rsid w:val="00A165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21107D55D4F418915AE89F8B0C09B" ma:contentTypeVersion="13" ma:contentTypeDescription="Create a new document." ma:contentTypeScope="" ma:versionID="4fb73a72838ae75a1307a184381c1e02">
  <xsd:schema xmlns:xsd="http://www.w3.org/2001/XMLSchema" xmlns:xs="http://www.w3.org/2001/XMLSchema" xmlns:p="http://schemas.microsoft.com/office/2006/metadata/properties" xmlns:ns3="280bcbf3-fdfc-4eb0-b96b-cab686b14d5d" xmlns:ns4="22b9fc00-1a44-40cf-ac95-f4380d2e67ae" targetNamespace="http://schemas.microsoft.com/office/2006/metadata/properties" ma:root="true" ma:fieldsID="61fab9b9c25b3dc3981d2c81ab75f305" ns3:_="" ns4:_="">
    <xsd:import namespace="280bcbf3-fdfc-4eb0-b96b-cab686b14d5d"/>
    <xsd:import namespace="22b9fc00-1a44-40cf-ac95-f4380d2e67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bcbf3-fdfc-4eb0-b96b-cab686b14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9fc00-1a44-40cf-ac95-f4380d2e67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E0C82-9C69-4B89-B1FB-0669B2E6D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bcbf3-fdfc-4eb0-b96b-cab686b14d5d"/>
    <ds:schemaRef ds:uri="22b9fc00-1a44-40cf-ac95-f4380d2e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56BFA-C723-4133-98CA-4CDFEF16F515}">
  <ds:schemaRefs>
    <ds:schemaRef ds:uri="http://schemas.microsoft.com/sharepoint/v3/contenttype/forms"/>
  </ds:schemaRefs>
</ds:datastoreItem>
</file>

<file path=customXml/itemProps3.xml><?xml version="1.0" encoding="utf-8"?>
<ds:datastoreItem xmlns:ds="http://schemas.openxmlformats.org/officeDocument/2006/customXml" ds:itemID="{0F0DCCF5-04B6-4DB6-A325-6FA4C1E50767}">
  <ds:schemaRefs>
    <ds:schemaRef ds:uri="http://schemas.microsoft.com/office/2006/documentManagement/types"/>
    <ds:schemaRef ds:uri="http://schemas.microsoft.com/office/2006/metadata/properties"/>
    <ds:schemaRef ds:uri="22b9fc00-1a44-40cf-ac95-f4380d2e67ae"/>
    <ds:schemaRef ds:uri="http://purl.org/dc/terms/"/>
    <ds:schemaRef ds:uri="http://schemas.openxmlformats.org/package/2006/metadata/core-properties"/>
    <ds:schemaRef ds:uri="http://purl.org/dc/dcmitype/"/>
    <ds:schemaRef ds:uri="280bcbf3-fdfc-4eb0-b96b-cab686b14d5d"/>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Mr Justice</dc:creator>
  <cp:keywords/>
  <dc:description/>
  <cp:lastModifiedBy>Bedford, HHJudge Robin</cp:lastModifiedBy>
  <cp:revision>2</cp:revision>
  <dcterms:created xsi:type="dcterms:W3CDTF">2023-03-31T11:19:00Z</dcterms:created>
  <dcterms:modified xsi:type="dcterms:W3CDTF">2023-03-31T11:19:00Z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0x01010039B21107D55D4F418915AE89F8B0C09B</vt:lpwstr>
  </property>
</Properties>
</file>